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C3EB8" w14:textId="265C84EF" w:rsidR="005F16BD" w:rsidRDefault="005F16BD">
      <w:pPr>
        <w:rPr>
          <w:rFonts w:hint="eastAsia"/>
        </w:rPr>
      </w:pPr>
      <w:r>
        <w:rPr>
          <w:noProof/>
        </w:rPr>
        <w:drawing>
          <wp:anchor distT="0" distB="0" distL="114300" distR="114300" simplePos="0" relativeHeight="251659264" behindDoc="0" locked="0" layoutInCell="1" allowOverlap="1" wp14:anchorId="46649440" wp14:editId="54B3880A">
            <wp:simplePos x="0" y="0"/>
            <wp:positionH relativeFrom="page">
              <wp:align>right</wp:align>
            </wp:positionH>
            <wp:positionV relativeFrom="page">
              <wp:posOffset>57150</wp:posOffset>
            </wp:positionV>
            <wp:extent cx="7750303" cy="3656330"/>
            <wp:effectExtent l="0" t="0" r="3175" b="127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7750303" cy="3656330"/>
                    </a:xfrm>
                    <a:prstGeom prst="rect">
                      <a:avLst/>
                    </a:prstGeom>
                    <a:noFill/>
                    <a:ln>
                      <a:noFill/>
                      <a:prstDash/>
                    </a:ln>
                  </pic:spPr>
                </pic:pic>
              </a:graphicData>
            </a:graphic>
            <wp14:sizeRelH relativeFrom="margin">
              <wp14:pctWidth>0</wp14:pctWidth>
            </wp14:sizeRelH>
          </wp:anchor>
        </w:drawing>
      </w:r>
    </w:p>
    <w:p w14:paraId="6F1EA68F" w14:textId="77777777" w:rsidR="005F16BD" w:rsidRDefault="005F16BD">
      <w:pPr>
        <w:rPr>
          <w:rFonts w:hint="eastAsia"/>
        </w:rPr>
      </w:pPr>
    </w:p>
    <w:p w14:paraId="47FACA5E" w14:textId="3440E443" w:rsidR="005F16BD" w:rsidRDefault="005F16BD">
      <w:pPr>
        <w:rPr>
          <w:rFonts w:hint="eastAsia"/>
        </w:rPr>
      </w:pPr>
    </w:p>
    <w:p w14:paraId="3881A632" w14:textId="60D1AD6B" w:rsidR="005F16BD" w:rsidRDefault="005F16BD">
      <w:pPr>
        <w:rPr>
          <w:rFonts w:hint="eastAsia"/>
        </w:rPr>
      </w:pPr>
    </w:p>
    <w:p w14:paraId="66F6D93B" w14:textId="26F893D6" w:rsidR="005F16BD" w:rsidRDefault="005F16BD">
      <w:pPr>
        <w:rPr>
          <w:rFonts w:hint="eastAsia"/>
        </w:rPr>
      </w:pPr>
    </w:p>
    <w:p w14:paraId="294C45B2" w14:textId="77777777" w:rsidR="005F16BD" w:rsidRDefault="005F16BD">
      <w:pPr>
        <w:rPr>
          <w:rFonts w:hint="eastAsia"/>
        </w:rPr>
      </w:pPr>
    </w:p>
    <w:p w14:paraId="0CFD7E9D" w14:textId="77777777" w:rsidR="005F16BD" w:rsidRDefault="005F16BD" w:rsidP="005F16BD">
      <w:pPr>
        <w:pStyle w:val="Standard"/>
      </w:pPr>
      <w:r>
        <w:rPr>
          <w:rFonts w:ascii="Verdana Pro" w:hAnsi="Verdana Pro" w:cs="Times New Roman"/>
          <w:b/>
          <w:bCs/>
          <w:color w:val="1F3864"/>
          <w:sz w:val="48"/>
          <w:szCs w:val="48"/>
        </w:rPr>
        <w:t>Introduction</w:t>
      </w:r>
    </w:p>
    <w:p w14:paraId="58B24285" w14:textId="324E1DF0" w:rsidR="005F16BD" w:rsidRDefault="005F16BD" w:rsidP="005F16BD">
      <w:pPr>
        <w:rPr>
          <w:rFonts w:ascii="Verdana Pro" w:hAnsi="Verdana Pro" w:cs="Times New Roman"/>
        </w:rPr>
      </w:pPr>
      <w:r>
        <w:rPr>
          <w:rFonts w:ascii="Verdana Pro" w:eastAsia="Calibri" w:hAnsi="Verdana Pro" w:cs="Times New Roman"/>
          <w:sz w:val="20"/>
          <w:szCs w:val="20"/>
          <w:lang w:eastAsia="en-US"/>
        </w:rPr>
        <w:t xml:space="preserve">The </w:t>
      </w:r>
      <w:r>
        <w:rPr>
          <w:rFonts w:ascii="Verdana Pro" w:eastAsia="Calibri" w:hAnsi="Verdana Pro" w:cs="Times New Roman"/>
          <w:b/>
          <w:bCs/>
          <w:sz w:val="20"/>
          <w:szCs w:val="20"/>
          <w:lang w:eastAsia="en-US"/>
        </w:rPr>
        <w:t>United States &amp; Latin Veterans Support Embassy</w:t>
      </w:r>
      <w:r>
        <w:rPr>
          <w:rFonts w:ascii="Verdana Pro" w:eastAsia="Calibri" w:hAnsi="Verdana Pro" w:cs="Times New Roman"/>
          <w:sz w:val="20"/>
          <w:szCs w:val="20"/>
          <w:lang w:eastAsia="en-US"/>
        </w:rPr>
        <w:t xml:space="preserve"> is similar to a permanent diplomatic mission, and it is at a much higher level than the NGO (Non-Governmental </w:t>
      </w:r>
      <w:proofErr w:type="spellStart"/>
      <w:r>
        <w:rPr>
          <w:rFonts w:ascii="Verdana Pro" w:eastAsia="Calibri" w:hAnsi="Verdana Pro" w:cs="Times New Roman"/>
          <w:sz w:val="20"/>
          <w:szCs w:val="20"/>
          <w:lang w:eastAsia="en-US"/>
        </w:rPr>
        <w:t>Organisation</w:t>
      </w:r>
      <w:proofErr w:type="spellEnd"/>
      <w:r>
        <w:rPr>
          <w:rFonts w:ascii="Verdana Pro" w:eastAsia="Calibri" w:hAnsi="Verdana Pro" w:cs="Times New Roman"/>
          <w:sz w:val="20"/>
          <w:szCs w:val="20"/>
          <w:lang w:eastAsia="en-US"/>
        </w:rPr>
        <w:t>) it used to be; therefore, it should be built internally to reflect this prestigious identity and operate accordingly. The above concept is the cornerstone in this initial guiding plan and will be its main focus towards a universally unified entity. All different aspects of the embassy operations that need attention are linked to each other and should be dealt with in harmony considering their natures. The key-word upgrade can be the best approach in most cases, while add/replace words are suitable for other areas. The Embassy’s Message &amp; Statement is the essence of the intended operation, where the mission and vision shall draw the roadmap, while the administrative hierarchy should perfectly execute them into concrete deeds. The clarity of the new identity and statement are instrumental to successful building operation, and the technology is the driving force towards this success. Automation, communications, global networking, and openness are necessities, while human development remains the ultimate tool and the most valuable asset. This guiding plan aims to point the direction towards the noble goals, and all concerned parties have to participate, involve, and contribute to the comprehensive plan of action that will remain our beacon and guiding force for years to come.</w:t>
      </w:r>
      <w:r>
        <w:rPr>
          <w:rFonts w:ascii="Verdana Pro" w:hAnsi="Verdana Pro" w:cs="Times New Roman"/>
        </w:rPr>
        <w:t xml:space="preserve">   </w:t>
      </w:r>
    </w:p>
    <w:p w14:paraId="51949C1B" w14:textId="77777777" w:rsidR="005F16BD" w:rsidRDefault="005F16BD" w:rsidP="005F16BD">
      <w:pPr>
        <w:rPr>
          <w:rFonts w:ascii="Verdana Pro" w:hAnsi="Verdana Pro" w:cs="Times New Roman"/>
        </w:rPr>
      </w:pPr>
    </w:p>
    <w:p w14:paraId="1CBC6C7C" w14:textId="77777777" w:rsidR="005F16BD" w:rsidRDefault="005F16BD" w:rsidP="005F16BD">
      <w:pPr>
        <w:rPr>
          <w:rFonts w:ascii="Verdana Pro" w:hAnsi="Verdana Pro" w:cs="Times New Roman"/>
        </w:rPr>
      </w:pPr>
    </w:p>
    <w:p w14:paraId="152E0D87" w14:textId="77777777" w:rsidR="005F16BD" w:rsidRDefault="005F16BD" w:rsidP="005F16BD">
      <w:pPr>
        <w:pStyle w:val="Standard"/>
        <w:rPr>
          <w:rFonts w:ascii="Verdana Pro" w:hAnsi="Verdana Pro" w:cs="Times New Roman"/>
          <w:b/>
          <w:bCs/>
          <w:color w:val="1F3864"/>
          <w:sz w:val="48"/>
          <w:szCs w:val="48"/>
        </w:rPr>
      </w:pPr>
    </w:p>
    <w:p w14:paraId="2F880FD5" w14:textId="77777777" w:rsidR="005F16BD" w:rsidRDefault="005F16BD" w:rsidP="005F16BD">
      <w:pPr>
        <w:pStyle w:val="Standard"/>
        <w:rPr>
          <w:rFonts w:ascii="Verdana Pro" w:hAnsi="Verdana Pro" w:cs="Times New Roman"/>
          <w:b/>
          <w:bCs/>
          <w:color w:val="1F3864"/>
          <w:sz w:val="48"/>
          <w:szCs w:val="48"/>
        </w:rPr>
      </w:pPr>
    </w:p>
    <w:p w14:paraId="4F2F2A18" w14:textId="22C9B741" w:rsidR="005F16BD" w:rsidRDefault="005F16BD" w:rsidP="005F16BD">
      <w:pPr>
        <w:pStyle w:val="Standard"/>
        <w:rPr>
          <w:rFonts w:ascii="Verdana Pro" w:hAnsi="Verdana Pro" w:cs="Times New Roman"/>
          <w:b/>
          <w:bCs/>
          <w:color w:val="1F3864"/>
          <w:sz w:val="48"/>
          <w:szCs w:val="48"/>
        </w:rPr>
      </w:pPr>
      <w:r>
        <w:rPr>
          <w:rFonts w:ascii="Verdana Pro" w:hAnsi="Verdana Pro" w:cs="Times New Roman"/>
          <w:b/>
          <w:bCs/>
          <w:color w:val="1F3864"/>
          <w:sz w:val="48"/>
          <w:szCs w:val="48"/>
        </w:rPr>
        <w:lastRenderedPageBreak/>
        <w:t>Security Infrastructure</w:t>
      </w:r>
    </w:p>
    <w:p w14:paraId="5F6EB083" w14:textId="77777777" w:rsidR="005F16BD" w:rsidRDefault="005F16BD" w:rsidP="005F16BD">
      <w:pPr>
        <w:pStyle w:val="Standard"/>
        <w:rPr>
          <w:rFonts w:ascii="Verdana Pro" w:eastAsia="Calibri" w:hAnsi="Verdana Pro" w:cs="Times New Roman"/>
          <w:b/>
          <w:bCs/>
          <w:sz w:val="20"/>
          <w:szCs w:val="20"/>
          <w:lang w:eastAsia="en-US"/>
        </w:rPr>
      </w:pPr>
      <w:r>
        <w:rPr>
          <w:rFonts w:ascii="Verdana Pro" w:eastAsia="Calibri" w:hAnsi="Verdana Pro" w:cs="Times New Roman"/>
          <w:b/>
          <w:bCs/>
          <w:sz w:val="20"/>
          <w:szCs w:val="20"/>
          <w:lang w:eastAsia="en-US"/>
        </w:rPr>
        <w:t>The Commercial Facilities Sector</w:t>
      </w:r>
    </w:p>
    <w:p w14:paraId="34766A9B" w14:textId="77777777"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This includes a diverse range of sites that draw large crowds of people for shopping, business, entertainment, or lodging. Facilities within the sector operate on the principle of open public access, meaning that the general public can move freely without the deterrent of highly visible security barriers. Most of these facilities are privately owned and operated, with minimal interaction with the federal government and other regulatory entities.</w:t>
      </w:r>
    </w:p>
    <w:p w14:paraId="3DE48E0E" w14:textId="77777777" w:rsidR="005F16BD" w:rsidRDefault="005F16BD" w:rsidP="005F16BD">
      <w:pPr>
        <w:pStyle w:val="Standard"/>
        <w:rPr>
          <w:rFonts w:ascii="Verdana Pro" w:eastAsia="Calibri" w:hAnsi="Verdana Pro" w:cs="Times New Roman"/>
          <w:sz w:val="20"/>
          <w:szCs w:val="20"/>
          <w:lang w:eastAsia="en-US"/>
        </w:rPr>
      </w:pPr>
    </w:p>
    <w:p w14:paraId="042A8F73" w14:textId="77777777" w:rsidR="005F16BD" w:rsidRDefault="005F16BD" w:rsidP="005F16BD">
      <w:pPr>
        <w:pStyle w:val="Standard"/>
        <w:rPr>
          <w:rFonts w:ascii="Verdana Pro" w:eastAsia="Calibri" w:hAnsi="Verdana Pro" w:cs="Times New Roman"/>
          <w:sz w:val="20"/>
          <w:szCs w:val="20"/>
          <w:lang w:eastAsia="en-US"/>
        </w:rPr>
      </w:pPr>
    </w:p>
    <w:p w14:paraId="6FCDD284" w14:textId="7A538037" w:rsidR="005F16BD" w:rsidRDefault="003C0320" w:rsidP="003C0320">
      <w:pPr>
        <w:pStyle w:val="Standard"/>
        <w:jc w:val="center"/>
        <w:rPr>
          <w:rFonts w:ascii="Verdana Pro" w:eastAsia="Calibri" w:hAnsi="Verdana Pro" w:cs="Times New Roman"/>
          <w:sz w:val="20"/>
          <w:szCs w:val="20"/>
          <w:lang w:eastAsia="en-US"/>
        </w:rPr>
      </w:pPr>
      <w:r>
        <w:rPr>
          <w:rFonts w:ascii="Verdana Pro" w:eastAsia="Calibri" w:hAnsi="Verdana Pro" w:cs="Times New Roman"/>
          <w:noProof/>
          <w:sz w:val="20"/>
          <w:szCs w:val="20"/>
          <w:lang w:eastAsia="en-US"/>
        </w:rPr>
        <w:drawing>
          <wp:inline distT="0" distB="0" distL="0" distR="0" wp14:anchorId="706AA468" wp14:editId="46320F4F">
            <wp:extent cx="3714750" cy="3714750"/>
            <wp:effectExtent l="0" t="0" r="0" b="0"/>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561b11e-bb77-472b-93da-c4598d2ae04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4750" cy="3714750"/>
                    </a:xfrm>
                    <a:prstGeom prst="rect">
                      <a:avLst/>
                    </a:prstGeom>
                  </pic:spPr>
                </pic:pic>
              </a:graphicData>
            </a:graphic>
          </wp:inline>
        </w:drawing>
      </w:r>
    </w:p>
    <w:p w14:paraId="46120472" w14:textId="5F130146" w:rsidR="005F16BD" w:rsidRDefault="005F16BD" w:rsidP="005F16BD">
      <w:pPr>
        <w:pStyle w:val="Standard"/>
      </w:pPr>
    </w:p>
    <w:p w14:paraId="3C4151DF" w14:textId="77777777" w:rsidR="005F16BD" w:rsidRDefault="005F16BD" w:rsidP="005F16BD">
      <w:pPr>
        <w:pStyle w:val="Standard"/>
        <w:rPr>
          <w:rFonts w:ascii="Verdana Pro" w:eastAsia="Calibri" w:hAnsi="Verdana Pro" w:cs="Times New Roman"/>
          <w:sz w:val="20"/>
          <w:szCs w:val="20"/>
          <w:lang w:eastAsia="en-US"/>
        </w:rPr>
      </w:pPr>
    </w:p>
    <w:p w14:paraId="30EEA44A" w14:textId="77777777" w:rsidR="005F16BD" w:rsidRDefault="005F16BD" w:rsidP="005F16BD">
      <w:pPr>
        <w:pStyle w:val="Standard"/>
        <w:jc w:val="center"/>
        <w:rPr>
          <w:rFonts w:ascii="Verdana Pro" w:eastAsia="Calibri" w:hAnsi="Verdana Pro" w:cs="Times New Roman"/>
          <w:sz w:val="20"/>
          <w:szCs w:val="20"/>
          <w:lang w:eastAsia="en-US"/>
        </w:rPr>
      </w:pPr>
    </w:p>
    <w:p w14:paraId="4E218146" w14:textId="77777777" w:rsidR="005F16BD" w:rsidRDefault="005F16BD" w:rsidP="005F16BD">
      <w:pPr>
        <w:pStyle w:val="Standard"/>
        <w:rPr>
          <w:rFonts w:ascii="Verdana Pro" w:eastAsia="Calibri" w:hAnsi="Verdana Pro" w:cs="Times New Roman"/>
          <w:sz w:val="20"/>
          <w:szCs w:val="20"/>
          <w:lang w:eastAsia="en-US"/>
        </w:rPr>
      </w:pPr>
    </w:p>
    <w:p w14:paraId="766944D3" w14:textId="77777777"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As the coronavirus pandemic continues to take its toll on populations and economies around the globe, governments and private industries are harnessing real-time monitoring solutions and artificial intelligence to mitigate the spread. However, these surveillance technologies also bring up a litany of concerns related to privacy, civil liberties, and data collection. Will governments and private industries deactivate these monitoring systems once the situation normalizes or is the proverbial panoptic genie out of the bottle?</w:t>
      </w:r>
    </w:p>
    <w:p w14:paraId="3F825028" w14:textId="77777777" w:rsidR="005F16BD" w:rsidRDefault="005F16BD" w:rsidP="005F16BD">
      <w:pPr>
        <w:pStyle w:val="Standard"/>
        <w:rPr>
          <w:rFonts w:ascii="Verdana Pro" w:eastAsia="Calibri" w:hAnsi="Verdana Pro" w:cs="Times New Roman"/>
          <w:sz w:val="20"/>
          <w:szCs w:val="20"/>
          <w:lang w:eastAsia="en-US"/>
        </w:rPr>
      </w:pPr>
    </w:p>
    <w:p w14:paraId="00D445A2" w14:textId="7724BD8F" w:rsidR="005F16BD" w:rsidRDefault="003C0320" w:rsidP="005F16BD">
      <w:pPr>
        <w:pStyle w:val="Standard"/>
        <w:jc w:val="center"/>
        <w:rPr>
          <w:rFonts w:ascii="Verdana Pro" w:eastAsia="Calibri" w:hAnsi="Verdana Pro" w:cs="Times New Roman"/>
          <w:sz w:val="20"/>
          <w:szCs w:val="20"/>
          <w:lang w:eastAsia="en-US"/>
        </w:rPr>
      </w:pPr>
      <w:r>
        <w:rPr>
          <w:rFonts w:ascii="Verdana Pro" w:eastAsia="Calibri" w:hAnsi="Verdana Pro" w:cs="Times New Roman"/>
          <w:noProof/>
          <w:sz w:val="20"/>
          <w:szCs w:val="20"/>
          <w:lang w:eastAsia="en-US"/>
        </w:rPr>
        <w:lastRenderedPageBreak/>
        <w:drawing>
          <wp:inline distT="0" distB="0" distL="0" distR="0" wp14:anchorId="5788FCB3" wp14:editId="3D5352A4">
            <wp:extent cx="5731514" cy="3504566"/>
            <wp:effectExtent l="0" t="0" r="2536" b="634"/>
            <wp:docPr id="27" name="Picture 33" descr="A picture contain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4" cy="3504566"/>
                    </a:xfrm>
                    <a:prstGeom prst="rect">
                      <a:avLst/>
                    </a:prstGeom>
                    <a:noFill/>
                    <a:ln>
                      <a:noFill/>
                      <a:prstDash/>
                    </a:ln>
                  </pic:spPr>
                </pic:pic>
              </a:graphicData>
            </a:graphic>
          </wp:inline>
        </w:drawing>
      </w:r>
    </w:p>
    <w:p w14:paraId="6A801477" w14:textId="1DA7D0E7" w:rsidR="005F16BD" w:rsidRDefault="005F16BD" w:rsidP="005F16BD">
      <w:pPr>
        <w:pStyle w:val="Standard"/>
      </w:pPr>
    </w:p>
    <w:p w14:paraId="21F4F7F4" w14:textId="77777777" w:rsidR="005F16BD" w:rsidRDefault="005F16BD" w:rsidP="005F16BD">
      <w:pPr>
        <w:pStyle w:val="Standard"/>
        <w:jc w:val="center"/>
        <w:rPr>
          <w:rFonts w:ascii="Verdana Pro" w:eastAsia="Calibri" w:hAnsi="Verdana Pro" w:cs="Times New Roman"/>
          <w:b/>
          <w:bCs/>
          <w:sz w:val="20"/>
          <w:szCs w:val="20"/>
          <w:lang w:eastAsia="en-US"/>
        </w:rPr>
      </w:pPr>
      <w:r>
        <w:rPr>
          <w:rFonts w:ascii="Verdana Pro" w:eastAsia="Calibri" w:hAnsi="Verdana Pro" w:cs="Times New Roman"/>
          <w:b/>
          <w:bCs/>
          <w:sz w:val="20"/>
          <w:szCs w:val="20"/>
          <w:lang w:eastAsia="en-US"/>
        </w:rPr>
        <w:t>Combating the coronavirus with real-time data costs $94,650.00 per month.</w:t>
      </w:r>
    </w:p>
    <w:p w14:paraId="4DD91931" w14:textId="77777777" w:rsidR="005F16BD" w:rsidRDefault="005F16BD" w:rsidP="005F16BD">
      <w:pPr>
        <w:pStyle w:val="Standard"/>
        <w:rPr>
          <w:rFonts w:ascii="Verdana Pro" w:eastAsia="Calibri" w:hAnsi="Verdana Pro" w:cs="Times New Roman"/>
          <w:sz w:val="20"/>
          <w:szCs w:val="20"/>
          <w:lang w:eastAsia="en-US"/>
        </w:rPr>
      </w:pPr>
    </w:p>
    <w:p w14:paraId="1CA84691" w14:textId="77777777"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 xml:space="preserve">The software company, </w:t>
      </w:r>
      <w:proofErr w:type="spellStart"/>
      <w:r>
        <w:rPr>
          <w:rFonts w:ascii="Verdana Pro" w:eastAsia="Calibri" w:hAnsi="Verdana Pro" w:cs="Times New Roman"/>
          <w:sz w:val="20"/>
          <w:szCs w:val="20"/>
          <w:lang w:eastAsia="en-US"/>
        </w:rPr>
        <w:t>Vantiq</w:t>
      </w:r>
      <w:proofErr w:type="spellEnd"/>
      <w:r>
        <w:rPr>
          <w:rFonts w:ascii="Verdana Pro" w:eastAsia="Calibri" w:hAnsi="Verdana Pro" w:cs="Times New Roman"/>
          <w:sz w:val="20"/>
          <w:szCs w:val="20"/>
          <w:lang w:eastAsia="en-US"/>
        </w:rPr>
        <w:t>, sees itself at the forefront of the effort to mitigate the spread of the coronavirus, but not by accident. Currently, the company and its partners are using a host of technologies including artificial intelligence, thermal imaging, facial recognition, IoT sensors, and more to develop operational systems and applications for clients around the globe which USLVSE will have access to and be operating from.</w:t>
      </w:r>
    </w:p>
    <w:p w14:paraId="7EA7F360" w14:textId="77777777"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The Commercial Facilities Sector consists of eight subsectors:</w:t>
      </w:r>
    </w:p>
    <w:p w14:paraId="0C30ADC1" w14:textId="77777777" w:rsidR="005F16BD" w:rsidRDefault="005F16BD" w:rsidP="005F16BD">
      <w:pPr>
        <w:pStyle w:val="Standard"/>
        <w:numPr>
          <w:ilvl w:val="0"/>
          <w:numId w:val="1"/>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Entertainment and Media (e.g., motion picture studios, broadcast media).</w:t>
      </w:r>
    </w:p>
    <w:p w14:paraId="42866C9A" w14:textId="77777777" w:rsidR="005F16BD" w:rsidRDefault="005F16BD" w:rsidP="005F16BD">
      <w:pPr>
        <w:pStyle w:val="Standard"/>
        <w:numPr>
          <w:ilvl w:val="0"/>
          <w:numId w:val="1"/>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Gaming (e.g., casinos).</w:t>
      </w:r>
    </w:p>
    <w:p w14:paraId="3A011F38" w14:textId="77777777" w:rsidR="005F16BD" w:rsidRDefault="005F16BD" w:rsidP="005F16BD">
      <w:pPr>
        <w:pStyle w:val="Standard"/>
        <w:numPr>
          <w:ilvl w:val="0"/>
          <w:numId w:val="1"/>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Lodging (e.g., hotels, motels, conference centers).</w:t>
      </w:r>
    </w:p>
    <w:p w14:paraId="581787ED" w14:textId="77777777" w:rsidR="005F16BD" w:rsidRDefault="005F16BD" w:rsidP="005F16BD">
      <w:pPr>
        <w:pStyle w:val="Standard"/>
        <w:numPr>
          <w:ilvl w:val="0"/>
          <w:numId w:val="1"/>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Outdoor Events (e.g., theme and amusement parks, fairs, campgrounds, parades).</w:t>
      </w:r>
    </w:p>
    <w:p w14:paraId="19C66E1C" w14:textId="77777777" w:rsidR="005F16BD" w:rsidRDefault="005F16BD" w:rsidP="005F16BD">
      <w:pPr>
        <w:pStyle w:val="Standard"/>
        <w:numPr>
          <w:ilvl w:val="0"/>
          <w:numId w:val="1"/>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Public Assembly (e.g., arenas, stadiums, aquariums, zoos, museums, convention centers).</w:t>
      </w:r>
    </w:p>
    <w:p w14:paraId="6C7AE7EF" w14:textId="77777777" w:rsidR="005F16BD" w:rsidRDefault="005F16BD" w:rsidP="005F16BD">
      <w:pPr>
        <w:pStyle w:val="Standard"/>
        <w:numPr>
          <w:ilvl w:val="0"/>
          <w:numId w:val="1"/>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Real Estate (e.g., office and apartment buildings, condominiums, mixed use facilities, self-storage).</w:t>
      </w:r>
    </w:p>
    <w:p w14:paraId="4220ABC4" w14:textId="77777777" w:rsidR="005F16BD" w:rsidRDefault="005F16BD" w:rsidP="005F16BD">
      <w:pPr>
        <w:pStyle w:val="Standard"/>
        <w:numPr>
          <w:ilvl w:val="0"/>
          <w:numId w:val="1"/>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Retail (e.g., retail centers and districts, shopping malls).</w:t>
      </w:r>
    </w:p>
    <w:p w14:paraId="7A6A666D" w14:textId="409641D5" w:rsidR="005F16BD" w:rsidRDefault="005F16BD" w:rsidP="005F16BD">
      <w:pPr>
        <w:pStyle w:val="Standard"/>
        <w:numPr>
          <w:ilvl w:val="0"/>
          <w:numId w:val="1"/>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Sports Leagues (e.g., professional sports leagues and federations).</w:t>
      </w:r>
    </w:p>
    <w:p w14:paraId="5F686391" w14:textId="77777777" w:rsidR="003C0320" w:rsidRDefault="003C0320" w:rsidP="003C0320">
      <w:pPr>
        <w:pStyle w:val="Standard"/>
        <w:ind w:left="720"/>
        <w:rPr>
          <w:rFonts w:ascii="Verdana Pro" w:eastAsia="Calibri" w:hAnsi="Verdana Pro" w:cs="Times New Roman"/>
          <w:sz w:val="20"/>
          <w:szCs w:val="20"/>
          <w:lang w:eastAsia="en-US"/>
        </w:rPr>
      </w:pPr>
    </w:p>
    <w:p w14:paraId="5D5C727C" w14:textId="77777777" w:rsidR="005F16BD" w:rsidRDefault="005F16BD" w:rsidP="005F16BD">
      <w:pPr>
        <w:pStyle w:val="Standard"/>
        <w:rPr>
          <w:rFonts w:ascii="Verdana Pro" w:eastAsia="Calibri" w:hAnsi="Verdana Pro" w:cs="Times New Roman"/>
          <w:b/>
          <w:bCs/>
          <w:sz w:val="20"/>
          <w:szCs w:val="20"/>
          <w:lang w:eastAsia="en-US"/>
        </w:rPr>
      </w:pPr>
      <w:r>
        <w:rPr>
          <w:rFonts w:ascii="Verdana Pro" w:eastAsia="Calibri" w:hAnsi="Verdana Pro" w:cs="Times New Roman"/>
          <w:b/>
          <w:bCs/>
          <w:sz w:val="20"/>
          <w:szCs w:val="20"/>
          <w:lang w:eastAsia="en-US"/>
        </w:rPr>
        <w:lastRenderedPageBreak/>
        <w:t>The Critical Manufacturing Sector</w:t>
      </w:r>
    </w:p>
    <w:p w14:paraId="2F107064" w14:textId="56400764" w:rsidR="003C0320"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This sector is crucial to the economic prosperity and continuity of the United States. A direct attack on or disruption of certain elements of the manufacturing industry could disrupt essential functions at the national level and across multiple critical infrastructure sectors.</w:t>
      </w:r>
    </w:p>
    <w:p w14:paraId="525D3CF2" w14:textId="5DF7F7B0" w:rsidR="003C0320" w:rsidRDefault="003C0320" w:rsidP="003C0320">
      <w:pPr>
        <w:pStyle w:val="Standard"/>
        <w:jc w:val="center"/>
        <w:rPr>
          <w:rFonts w:ascii="Verdana Pro" w:eastAsia="Calibri" w:hAnsi="Verdana Pro" w:cs="Times New Roman"/>
          <w:sz w:val="20"/>
          <w:szCs w:val="20"/>
          <w:lang w:eastAsia="en-US"/>
        </w:rPr>
      </w:pPr>
      <w:r>
        <w:rPr>
          <w:rFonts w:ascii="Verdana Pro" w:eastAsia="Calibri" w:hAnsi="Verdana Pro" w:cs="Times New Roman"/>
          <w:noProof/>
          <w:sz w:val="20"/>
          <w:szCs w:val="20"/>
          <w:lang w:eastAsia="en-US"/>
        </w:rPr>
        <w:drawing>
          <wp:inline distT="0" distB="0" distL="0" distR="0" wp14:anchorId="0CE60ABC" wp14:editId="70368212">
            <wp:extent cx="5118619" cy="3731291"/>
            <wp:effectExtent l="0" t="0" r="5831" b="2509"/>
            <wp:docPr id="30" name="Picture 37"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18619" cy="3731291"/>
                    </a:xfrm>
                    <a:prstGeom prst="rect">
                      <a:avLst/>
                    </a:prstGeom>
                    <a:noFill/>
                    <a:ln>
                      <a:noFill/>
                      <a:prstDash/>
                    </a:ln>
                  </pic:spPr>
                </pic:pic>
              </a:graphicData>
            </a:graphic>
          </wp:inline>
        </w:drawing>
      </w:r>
    </w:p>
    <w:p w14:paraId="20AC3613" w14:textId="77777777" w:rsidR="003C0320" w:rsidRDefault="003C0320" w:rsidP="003C0320">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 xml:space="preserve">The DS-2TD6266-100C2L from Hikvision is a Thermal &amp; Optical Bi-spectrum Network Positioning System applied to frontier </w:t>
      </w:r>
      <w:proofErr w:type="spellStart"/>
      <w:r>
        <w:rPr>
          <w:rFonts w:ascii="Verdana Pro" w:eastAsia="Calibri" w:hAnsi="Verdana Pro" w:cs="Times New Roman"/>
          <w:sz w:val="20"/>
          <w:szCs w:val="20"/>
          <w:lang w:eastAsia="en-US"/>
        </w:rPr>
        <w:t>defense</w:t>
      </w:r>
      <w:proofErr w:type="spellEnd"/>
      <w:r>
        <w:rPr>
          <w:rFonts w:ascii="Verdana Pro" w:eastAsia="Calibri" w:hAnsi="Verdana Pro" w:cs="Times New Roman"/>
          <w:sz w:val="20"/>
          <w:szCs w:val="20"/>
          <w:lang w:eastAsia="en-US"/>
        </w:rPr>
        <w:t xml:space="preserve"> occasions, maritime </w:t>
      </w:r>
      <w:proofErr w:type="spellStart"/>
      <w:r>
        <w:rPr>
          <w:rFonts w:ascii="Verdana Pro" w:eastAsia="Calibri" w:hAnsi="Verdana Pro" w:cs="Times New Roman"/>
          <w:sz w:val="20"/>
          <w:szCs w:val="20"/>
          <w:lang w:eastAsia="en-US"/>
        </w:rPr>
        <w:t>defense</w:t>
      </w:r>
      <w:proofErr w:type="spellEnd"/>
      <w:r>
        <w:rPr>
          <w:rFonts w:ascii="Verdana Pro" w:eastAsia="Calibri" w:hAnsi="Verdana Pro" w:cs="Times New Roman"/>
          <w:sz w:val="20"/>
          <w:szCs w:val="20"/>
          <w:lang w:eastAsia="en-US"/>
        </w:rPr>
        <w:t xml:space="preserve"> occasions, port monitoring, airport perimeter security, and so on. The pre-alarm system helps you discover unexpected events immediately and protects you from property loss.</w:t>
      </w:r>
    </w:p>
    <w:p w14:paraId="09A34D4C" w14:textId="77777777" w:rsidR="003C0320" w:rsidRDefault="003C0320" w:rsidP="003C0320">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Features:</w:t>
      </w:r>
    </w:p>
    <w:p w14:paraId="58D920A5" w14:textId="77777777" w:rsidR="003C0320" w:rsidRDefault="003C0320" w:rsidP="003C0320">
      <w:pPr>
        <w:pStyle w:val="Standard"/>
        <w:numPr>
          <w:ilvl w:val="0"/>
          <w:numId w:val="2"/>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Smart Function (Thermal Imaging).</w:t>
      </w:r>
    </w:p>
    <w:p w14:paraId="1CC63116" w14:textId="77777777" w:rsidR="003C0320" w:rsidRDefault="003C0320" w:rsidP="003C0320">
      <w:pPr>
        <w:pStyle w:val="Standard"/>
        <w:numPr>
          <w:ilvl w:val="0"/>
          <w:numId w:val="2"/>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Leading image processing technology: Adaptive AGC, DDE, 3D DNR, NETD &lt; 40mk (@25°C, F#=1.0).</w:t>
      </w:r>
    </w:p>
    <w:p w14:paraId="7A55D5FB" w14:textId="77777777" w:rsidR="003C0320" w:rsidRDefault="003C0320" w:rsidP="003C0320">
      <w:pPr>
        <w:pStyle w:val="Standard"/>
        <w:numPr>
          <w:ilvl w:val="0"/>
          <w:numId w:val="2"/>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Smart tracking: Panorama tracking, Event tracking and Multi-scene patrol tracking.</w:t>
      </w:r>
    </w:p>
    <w:p w14:paraId="49FEF8D7" w14:textId="77777777" w:rsidR="003C0320" w:rsidRDefault="003C0320" w:rsidP="003C0320">
      <w:pPr>
        <w:pStyle w:val="Standard"/>
        <w:numPr>
          <w:ilvl w:val="0"/>
          <w:numId w:val="2"/>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Smart tracking linkage: thermal view and optical view.</w:t>
      </w:r>
    </w:p>
    <w:p w14:paraId="559D3748" w14:textId="77777777" w:rsidR="003C0320" w:rsidRDefault="003C0320" w:rsidP="003C0320">
      <w:pPr>
        <w:pStyle w:val="Standard"/>
        <w:numPr>
          <w:ilvl w:val="0"/>
          <w:numId w:val="2"/>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 xml:space="preserve">Powerful </w:t>
      </w:r>
      <w:proofErr w:type="spellStart"/>
      <w:r>
        <w:rPr>
          <w:rFonts w:ascii="Verdana Pro" w:eastAsia="Calibri" w:hAnsi="Verdana Pro" w:cs="Times New Roman"/>
          <w:sz w:val="20"/>
          <w:szCs w:val="20"/>
          <w:lang w:eastAsia="en-US"/>
        </w:rPr>
        <w:t>behavior</w:t>
      </w:r>
      <w:proofErr w:type="spellEnd"/>
      <w:r>
        <w:rPr>
          <w:rFonts w:ascii="Verdana Pro" w:eastAsia="Calibri" w:hAnsi="Verdana Pro" w:cs="Times New Roman"/>
          <w:sz w:val="20"/>
          <w:szCs w:val="20"/>
          <w:lang w:eastAsia="en-US"/>
        </w:rPr>
        <w:t xml:space="preserve"> analysis algorithm: Line crossing, Intrusion, Region Entrance &amp; Exit.</w:t>
      </w:r>
    </w:p>
    <w:p w14:paraId="0B5EA392" w14:textId="77777777" w:rsidR="003C0320" w:rsidRDefault="003C0320" w:rsidP="003C0320">
      <w:pPr>
        <w:pStyle w:val="Standard"/>
        <w:numPr>
          <w:ilvl w:val="0"/>
          <w:numId w:val="2"/>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Reliable temperature exception alarm function.</w:t>
      </w:r>
    </w:p>
    <w:p w14:paraId="48B5C66B" w14:textId="77777777" w:rsidR="003C0320" w:rsidRDefault="003C0320" w:rsidP="003C0320">
      <w:pPr>
        <w:pStyle w:val="Standard"/>
        <w:numPr>
          <w:ilvl w:val="0"/>
          <w:numId w:val="2"/>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Advanced fire detection algorithm.</w:t>
      </w:r>
    </w:p>
    <w:p w14:paraId="0089E16C" w14:textId="77777777" w:rsidR="003C0320" w:rsidRDefault="003C0320" w:rsidP="003C0320">
      <w:pPr>
        <w:pStyle w:val="Standard"/>
        <w:numPr>
          <w:ilvl w:val="0"/>
          <w:numId w:val="2"/>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Thermal Imaging Module Function.</w:t>
      </w:r>
    </w:p>
    <w:p w14:paraId="4499AAF3" w14:textId="77777777" w:rsidR="003C0320" w:rsidRDefault="003C0320" w:rsidP="003C0320">
      <w:pPr>
        <w:pStyle w:val="Standard"/>
        <w:numPr>
          <w:ilvl w:val="0"/>
          <w:numId w:val="2"/>
        </w:numPr>
        <w:rPr>
          <w:rFonts w:ascii="Verdana Pro" w:eastAsia="Calibri" w:hAnsi="Verdana Pro" w:cs="Times New Roman"/>
          <w:sz w:val="20"/>
          <w:szCs w:val="20"/>
          <w:lang w:eastAsia="en-US"/>
        </w:rPr>
      </w:pPr>
      <w:r>
        <w:rPr>
          <w:rFonts w:ascii="Verdana Pro" w:eastAsia="Calibri" w:hAnsi="Verdana Pro" w:cs="Times New Roman"/>
          <w:sz w:val="20"/>
          <w:szCs w:val="20"/>
          <w:lang w:eastAsia="en-US"/>
        </w:rPr>
        <w:t>640*512 resolution, high sensitivity sensor, support contrast adjustment.</w:t>
      </w:r>
    </w:p>
    <w:p w14:paraId="66475DB6" w14:textId="77777777" w:rsidR="005F16BD" w:rsidRDefault="005F16BD" w:rsidP="005F16BD">
      <w:pPr>
        <w:pStyle w:val="Standard"/>
        <w:jc w:val="center"/>
      </w:pPr>
      <w:r>
        <w:rPr>
          <w:rFonts w:ascii="Verdana Pro" w:eastAsia="Calibri" w:hAnsi="Verdana Pro" w:cs="Times New Roman"/>
          <w:noProof/>
          <w:sz w:val="20"/>
          <w:szCs w:val="20"/>
          <w:lang w:eastAsia="en-US"/>
        </w:rPr>
        <w:lastRenderedPageBreak/>
        <w:drawing>
          <wp:inline distT="0" distB="0" distL="0" distR="0" wp14:anchorId="5E9764EA" wp14:editId="710760B6">
            <wp:extent cx="5731514" cy="4239258"/>
            <wp:effectExtent l="0" t="0" r="2536" b="8892"/>
            <wp:docPr id="29" name="Picture 34" descr="A close up of a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4" cy="4239258"/>
                    </a:xfrm>
                    <a:prstGeom prst="rect">
                      <a:avLst/>
                    </a:prstGeom>
                    <a:noFill/>
                    <a:ln>
                      <a:noFill/>
                      <a:prstDash/>
                    </a:ln>
                  </pic:spPr>
                </pic:pic>
              </a:graphicData>
            </a:graphic>
          </wp:inline>
        </w:drawing>
      </w:r>
    </w:p>
    <w:p w14:paraId="5AE3025B" w14:textId="77777777" w:rsidR="005F16BD" w:rsidRDefault="005F16BD" w:rsidP="005F16BD">
      <w:pPr>
        <w:pStyle w:val="Standard"/>
        <w:jc w:val="center"/>
        <w:rPr>
          <w:rFonts w:ascii="Verdana Pro" w:eastAsia="Calibri" w:hAnsi="Verdana Pro" w:cs="Times New Roman"/>
          <w:sz w:val="20"/>
          <w:szCs w:val="20"/>
          <w:lang w:eastAsia="en-US"/>
        </w:rPr>
      </w:pPr>
    </w:p>
    <w:p w14:paraId="51DE44D5" w14:textId="77777777" w:rsidR="005F16BD" w:rsidRDefault="005F16BD" w:rsidP="005F16BD">
      <w:pPr>
        <w:pStyle w:val="Standard"/>
        <w:rPr>
          <w:rFonts w:ascii="Verdana Pro" w:eastAsia="Calibri" w:hAnsi="Verdana Pro" w:cs="Times New Roman"/>
          <w:b/>
          <w:bCs/>
          <w:sz w:val="20"/>
          <w:szCs w:val="20"/>
          <w:lang w:eastAsia="en-US"/>
        </w:rPr>
      </w:pPr>
      <w:r>
        <w:rPr>
          <w:rFonts w:ascii="Verdana Pro" w:eastAsia="Calibri" w:hAnsi="Verdana Pro" w:cs="Times New Roman"/>
          <w:b/>
          <w:bCs/>
          <w:sz w:val="20"/>
          <w:szCs w:val="20"/>
          <w:lang w:eastAsia="en-US"/>
        </w:rPr>
        <w:t>Hikvision DS-2TD6266-100C2L 640 X 512 Outdoor Network IR Thermal and Optical Bi-spectrum PTZ Camera, 49X Lens. Cost of the camera is $25,860.00</w:t>
      </w:r>
    </w:p>
    <w:p w14:paraId="57038F2C" w14:textId="77777777" w:rsidR="005F16BD" w:rsidRDefault="005F16BD" w:rsidP="005F16BD">
      <w:pPr>
        <w:pStyle w:val="Standard"/>
        <w:rPr>
          <w:rFonts w:ascii="Verdana Pro" w:eastAsia="Calibri" w:hAnsi="Verdana Pro" w:cs="Times New Roman"/>
          <w:sz w:val="20"/>
          <w:szCs w:val="20"/>
          <w:lang w:eastAsia="en-US"/>
        </w:rPr>
      </w:pPr>
    </w:p>
    <w:p w14:paraId="43E5B6B6" w14:textId="77777777" w:rsidR="005F16BD" w:rsidRDefault="005F16BD" w:rsidP="005F16BD">
      <w:pPr>
        <w:pStyle w:val="Standard"/>
        <w:rPr>
          <w:rFonts w:ascii="Verdana Pro" w:eastAsia="Calibri" w:hAnsi="Verdana Pro" w:cs="Times New Roman"/>
          <w:sz w:val="20"/>
          <w:szCs w:val="20"/>
          <w:lang w:eastAsia="en-US"/>
        </w:rPr>
      </w:pPr>
    </w:p>
    <w:p w14:paraId="5E9F3C62" w14:textId="77777777" w:rsidR="005F16BD" w:rsidRDefault="005F16BD" w:rsidP="005F16BD">
      <w:pPr>
        <w:pStyle w:val="Standard"/>
        <w:rPr>
          <w:rFonts w:ascii="Verdana Pro" w:eastAsia="Calibri" w:hAnsi="Verdana Pro" w:cs="Times New Roman"/>
          <w:sz w:val="20"/>
          <w:szCs w:val="20"/>
          <w:lang w:eastAsia="en-US"/>
        </w:rPr>
      </w:pPr>
    </w:p>
    <w:p w14:paraId="1DDC5465" w14:textId="77777777" w:rsidR="005F16BD" w:rsidRDefault="005F16BD" w:rsidP="005F16BD">
      <w:pPr>
        <w:pStyle w:val="Standard"/>
        <w:rPr>
          <w:rFonts w:ascii="Verdana Pro" w:eastAsia="Calibri" w:hAnsi="Verdana Pro" w:cs="Times New Roman"/>
          <w:sz w:val="20"/>
          <w:szCs w:val="20"/>
          <w:lang w:eastAsia="en-US"/>
        </w:rPr>
      </w:pPr>
    </w:p>
    <w:p w14:paraId="289E6389" w14:textId="77777777" w:rsidR="005F16BD" w:rsidRDefault="005F16BD" w:rsidP="005F16BD">
      <w:pPr>
        <w:pStyle w:val="Standard"/>
        <w:rPr>
          <w:rFonts w:ascii="Verdana Pro" w:eastAsia="Calibri" w:hAnsi="Verdana Pro" w:cs="Times New Roman"/>
          <w:sz w:val="20"/>
          <w:szCs w:val="20"/>
          <w:lang w:eastAsia="en-US"/>
        </w:rPr>
      </w:pPr>
    </w:p>
    <w:p w14:paraId="47F70DA8" w14:textId="1DFAAC09" w:rsidR="005F16BD" w:rsidRDefault="005F16BD" w:rsidP="005F16BD">
      <w:pPr>
        <w:pStyle w:val="Standard"/>
        <w:rPr>
          <w:rFonts w:ascii="Verdana Pro" w:eastAsia="Calibri" w:hAnsi="Verdana Pro" w:cs="Times New Roman"/>
          <w:b/>
          <w:bCs/>
          <w:sz w:val="20"/>
          <w:szCs w:val="20"/>
          <w:lang w:eastAsia="en-US"/>
        </w:rPr>
      </w:pPr>
      <w:r>
        <w:rPr>
          <w:rFonts w:ascii="Verdana Pro" w:eastAsia="Calibri" w:hAnsi="Verdana Pro" w:cs="Times New Roman"/>
          <w:b/>
          <w:bCs/>
          <w:sz w:val="20"/>
          <w:szCs w:val="20"/>
          <w:lang w:eastAsia="en-US"/>
        </w:rPr>
        <w:t>The Communications Sector</w:t>
      </w:r>
    </w:p>
    <w:p w14:paraId="0DC9C077" w14:textId="0FE952E6"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This is an integral component of the U.S. economy, underlying the operations of all businesses, public safety organizations, and government. Presidential Policy Directive 21 identifies the Communications Sector as critical because it provides an “enabling function” across all critical infrastructure sectors. Over the last 25 years, the sector has evolved from predominantly a provider of voice services into a diverse, competitive, and interconnected industry using terrestrial, satellite, and wireless transmission systems. The transmission of these services has become interconnected; satellite, wireless, and wireline providers depend on each other to carry and terminate their traffic and companies routinely share facilities and technology to ensure interoperability.</w:t>
      </w:r>
    </w:p>
    <w:p w14:paraId="051E07D7" w14:textId="77777777" w:rsidR="005F16BD" w:rsidRDefault="005F16BD" w:rsidP="005F16BD">
      <w:pPr>
        <w:pStyle w:val="Standard"/>
        <w:rPr>
          <w:rFonts w:ascii="Verdana Pro" w:eastAsia="Calibri" w:hAnsi="Verdana Pro" w:cs="Times New Roman"/>
          <w:sz w:val="20"/>
          <w:szCs w:val="20"/>
          <w:lang w:eastAsia="en-US"/>
        </w:rPr>
      </w:pPr>
    </w:p>
    <w:p w14:paraId="6D8D1856" w14:textId="47C28DE1" w:rsidR="005F16BD" w:rsidRDefault="005F16BD" w:rsidP="005F16BD">
      <w:pPr>
        <w:pStyle w:val="Standard"/>
      </w:pPr>
      <w:r>
        <w:rPr>
          <w:rFonts w:ascii="Verdana Pro" w:eastAsia="Calibri" w:hAnsi="Verdana Pro" w:cs="Times New Roman"/>
          <w:noProof/>
          <w:sz w:val="20"/>
          <w:szCs w:val="20"/>
          <w:lang w:eastAsia="en-US"/>
        </w:rPr>
        <w:drawing>
          <wp:inline distT="0" distB="0" distL="0" distR="0" wp14:anchorId="0009593C" wp14:editId="0ED9774D">
            <wp:extent cx="5731510" cy="5992491"/>
            <wp:effectExtent l="0" t="0" r="2540" b="8890"/>
            <wp:docPr id="31" name="Picture 3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5992491"/>
                    </a:xfrm>
                    <a:prstGeom prst="rect">
                      <a:avLst/>
                    </a:prstGeom>
                    <a:noFill/>
                    <a:ln>
                      <a:noFill/>
                      <a:prstDash/>
                    </a:ln>
                  </pic:spPr>
                </pic:pic>
              </a:graphicData>
            </a:graphic>
          </wp:inline>
        </w:drawing>
      </w:r>
    </w:p>
    <w:p w14:paraId="58EB9885" w14:textId="74B62F19"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Cyber Threat Intelligence provides the means to collect, analyse and then sort all the data related to a cyber-attack, the attacker and the procedures used. Taking action as part of a community is one of the major challenges of Cyber Threat Intelligence insofar as it lets each player broaden their knowledge of attacks and protect themselves more effectively. Today, by sharing their analyses of cyber-criminal behaviours and procedures, Cyber Threat Intelligence teams are improving their knowledge of cyber threats in order to consolidate their ability to detect, anticipate new risks and fight cyber-attacks together.</w:t>
      </w:r>
    </w:p>
    <w:p w14:paraId="61471B21" w14:textId="77777777" w:rsidR="005F16BD" w:rsidRDefault="005F16BD" w:rsidP="005F16BD">
      <w:pPr>
        <w:pStyle w:val="Standard"/>
        <w:rPr>
          <w:rFonts w:ascii="Verdana Pro" w:eastAsia="Calibri" w:hAnsi="Verdana Pro" w:cs="Times New Roman"/>
          <w:sz w:val="20"/>
          <w:szCs w:val="20"/>
          <w:lang w:eastAsia="en-US"/>
        </w:rPr>
      </w:pPr>
    </w:p>
    <w:p w14:paraId="7FE8A1A4" w14:textId="77777777" w:rsidR="005F16BD" w:rsidRDefault="005F16BD" w:rsidP="005F16BD">
      <w:pPr>
        <w:pStyle w:val="Standard"/>
        <w:rPr>
          <w:rFonts w:ascii="Verdana Pro" w:eastAsia="Calibri" w:hAnsi="Verdana Pro" w:cs="Times New Roman"/>
          <w:sz w:val="20"/>
          <w:szCs w:val="20"/>
          <w:lang w:eastAsia="en-US"/>
        </w:rPr>
      </w:pPr>
    </w:p>
    <w:p w14:paraId="1A8E1CEC" w14:textId="77777777" w:rsidR="005F16BD" w:rsidRDefault="005F16BD" w:rsidP="005F16BD">
      <w:pPr>
        <w:pStyle w:val="Standard"/>
        <w:rPr>
          <w:rFonts w:ascii="Verdana Pro" w:eastAsia="Calibri" w:hAnsi="Verdana Pro" w:cs="Times New Roman"/>
          <w:sz w:val="20"/>
          <w:szCs w:val="20"/>
          <w:lang w:eastAsia="en-US"/>
        </w:rPr>
      </w:pPr>
    </w:p>
    <w:p w14:paraId="58F84573" w14:textId="77777777" w:rsidR="005F16BD" w:rsidRDefault="005F16BD" w:rsidP="005F16BD">
      <w:pPr>
        <w:pStyle w:val="Standard"/>
        <w:rPr>
          <w:rFonts w:ascii="Verdana Pro" w:eastAsia="Calibri" w:hAnsi="Verdana Pro" w:cs="Times New Roman"/>
          <w:sz w:val="20"/>
          <w:szCs w:val="20"/>
          <w:lang w:eastAsia="en-US"/>
        </w:rPr>
      </w:pPr>
    </w:p>
    <w:p w14:paraId="478D4410" w14:textId="77777777" w:rsidR="005F16BD" w:rsidRDefault="005F16BD" w:rsidP="005F16BD">
      <w:pPr>
        <w:pStyle w:val="Standard"/>
      </w:pPr>
      <w:r>
        <w:rPr>
          <w:rFonts w:ascii="Verdana Pro" w:eastAsia="Calibri" w:hAnsi="Verdana Pro" w:cs="Times New Roman"/>
          <w:noProof/>
          <w:sz w:val="20"/>
          <w:szCs w:val="20"/>
          <w:lang w:eastAsia="en-US"/>
        </w:rPr>
        <w:drawing>
          <wp:inline distT="0" distB="0" distL="0" distR="0" wp14:anchorId="7EDD4204" wp14:editId="093A7DA6">
            <wp:extent cx="5731514" cy="4053836"/>
            <wp:effectExtent l="0" t="0" r="2536" b="3814"/>
            <wp:docPr id="32" name="Picture 35"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4" cy="4053836"/>
                    </a:xfrm>
                    <a:prstGeom prst="rect">
                      <a:avLst/>
                    </a:prstGeom>
                    <a:noFill/>
                    <a:ln>
                      <a:noFill/>
                      <a:prstDash/>
                    </a:ln>
                  </pic:spPr>
                </pic:pic>
              </a:graphicData>
            </a:graphic>
          </wp:inline>
        </w:drawing>
      </w:r>
    </w:p>
    <w:p w14:paraId="1178FA40" w14:textId="77777777" w:rsidR="005F16BD" w:rsidRDefault="005F16BD" w:rsidP="005F16BD">
      <w:pPr>
        <w:pStyle w:val="Standard"/>
        <w:rPr>
          <w:rFonts w:ascii="Verdana Pro" w:eastAsia="Calibri" w:hAnsi="Verdana Pro" w:cs="Times New Roman"/>
          <w:sz w:val="20"/>
          <w:szCs w:val="20"/>
          <w:lang w:eastAsia="en-US"/>
        </w:rPr>
      </w:pPr>
    </w:p>
    <w:p w14:paraId="692513F5" w14:textId="77777777" w:rsidR="005F16BD" w:rsidRDefault="005F16BD" w:rsidP="005F16BD">
      <w:pPr>
        <w:pStyle w:val="Standard"/>
        <w:rPr>
          <w:rFonts w:ascii="Verdana Pro" w:eastAsia="Calibri" w:hAnsi="Verdana Pro" w:cs="Times New Roman"/>
          <w:b/>
          <w:bCs/>
          <w:sz w:val="20"/>
          <w:szCs w:val="20"/>
          <w:lang w:eastAsia="en-US"/>
        </w:rPr>
      </w:pPr>
      <w:r>
        <w:rPr>
          <w:rFonts w:ascii="Verdana Pro" w:eastAsia="Calibri" w:hAnsi="Verdana Pro" w:cs="Times New Roman"/>
          <w:b/>
          <w:bCs/>
          <w:sz w:val="20"/>
          <w:szCs w:val="20"/>
          <w:lang w:eastAsia="en-US"/>
        </w:rPr>
        <w:t>The cost to undertake a Cyber Threat Intelligence operation is $120,000.00 monthly.</w:t>
      </w:r>
    </w:p>
    <w:p w14:paraId="4E7B8C5F" w14:textId="77777777" w:rsidR="005F16BD" w:rsidRDefault="005F16BD" w:rsidP="005F16BD">
      <w:pPr>
        <w:pStyle w:val="Standard"/>
        <w:rPr>
          <w:rFonts w:ascii="Verdana Pro" w:eastAsia="Calibri" w:hAnsi="Verdana Pro" w:cs="Times New Roman"/>
          <w:b/>
          <w:bCs/>
          <w:sz w:val="20"/>
          <w:szCs w:val="20"/>
          <w:lang w:eastAsia="en-US"/>
        </w:rPr>
      </w:pPr>
    </w:p>
    <w:p w14:paraId="45C57382" w14:textId="77777777" w:rsidR="005F16BD" w:rsidRDefault="005F16BD" w:rsidP="005F16BD">
      <w:pPr>
        <w:pStyle w:val="Standard"/>
        <w:rPr>
          <w:rFonts w:ascii="Verdana Pro" w:eastAsia="Calibri" w:hAnsi="Verdana Pro" w:cs="Times New Roman"/>
          <w:b/>
          <w:bCs/>
          <w:sz w:val="20"/>
          <w:szCs w:val="20"/>
          <w:lang w:eastAsia="en-US"/>
        </w:rPr>
      </w:pPr>
    </w:p>
    <w:p w14:paraId="42ED2A74" w14:textId="77777777" w:rsidR="005F16BD" w:rsidRDefault="005F16BD" w:rsidP="005F16BD">
      <w:pPr>
        <w:pStyle w:val="Standard"/>
        <w:rPr>
          <w:rFonts w:ascii="Verdana Pro" w:eastAsia="Calibri" w:hAnsi="Verdana Pro" w:cs="Times New Roman"/>
          <w:b/>
          <w:bCs/>
          <w:sz w:val="20"/>
          <w:szCs w:val="20"/>
          <w:lang w:eastAsia="en-US"/>
        </w:rPr>
      </w:pPr>
    </w:p>
    <w:p w14:paraId="49FB36DD" w14:textId="77777777" w:rsidR="005F16BD" w:rsidRDefault="005F16BD" w:rsidP="005F16BD">
      <w:pPr>
        <w:pStyle w:val="Standard"/>
      </w:pPr>
      <w:r>
        <w:rPr>
          <w:rFonts w:ascii="Verdana Pro" w:eastAsia="Calibri" w:hAnsi="Verdana Pro" w:cs="Times New Roman"/>
          <w:b/>
          <w:bCs/>
          <w:sz w:val="20"/>
          <w:szCs w:val="20"/>
          <w:lang w:eastAsia="en-US"/>
        </w:rPr>
        <w:t>The Government Facilities Sector</w:t>
      </w:r>
      <w:r>
        <w:rPr>
          <w:rFonts w:ascii="Verdana Pro" w:eastAsia="Calibri" w:hAnsi="Verdana Pro" w:cs="Times New Roman"/>
          <w:sz w:val="20"/>
          <w:szCs w:val="20"/>
          <w:lang w:eastAsia="en-US"/>
        </w:rPr>
        <w:t xml:space="preserve"> </w:t>
      </w:r>
    </w:p>
    <w:p w14:paraId="4574966D" w14:textId="77777777"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Includes a wide variety of buildings, located in the United States and overseas, that are owned or leased by federal, state, local, and tribal governments. Many government facilities are open to the public for business activities, commercial transactions, or recreational activities while others that are not open to the public contain highly sensitive information, materials, processes, and equipment. These facilities include general-use office buildings and special-use military installations, embassies, courthouses, national laboratories, and structures that may house critical equipment, systems, networks, and functions. In addition to physical structures, the sector includes cyber elements that contribute to the protection of sector assets (e.g., access control systems and closed-circuit television systems) as well as individuals who perform essential functions or possess tactical, operational, or strategic knowledge.</w:t>
      </w:r>
    </w:p>
    <w:p w14:paraId="24BB9AC8" w14:textId="4D6454C8" w:rsidR="005F16BD" w:rsidRDefault="003C0320" w:rsidP="003C0320">
      <w:pPr>
        <w:pStyle w:val="Standard"/>
        <w:jc w:val="center"/>
        <w:rPr>
          <w:rFonts w:ascii="Verdana Pro" w:eastAsia="Calibri" w:hAnsi="Verdana Pro" w:cs="Times New Roman"/>
          <w:sz w:val="20"/>
          <w:szCs w:val="20"/>
          <w:lang w:eastAsia="en-US"/>
        </w:rPr>
      </w:pPr>
      <w:r>
        <w:rPr>
          <w:rFonts w:ascii="Verdana Pro" w:eastAsia="Calibri" w:hAnsi="Verdana Pro" w:cs="Times New Roman"/>
          <w:noProof/>
          <w:sz w:val="20"/>
          <w:szCs w:val="20"/>
          <w:lang w:eastAsia="en-US"/>
        </w:rPr>
        <w:lastRenderedPageBreak/>
        <w:drawing>
          <wp:inline distT="0" distB="0" distL="0" distR="0" wp14:anchorId="1D1566FB" wp14:editId="432E5B0F">
            <wp:extent cx="4695825" cy="5395182"/>
            <wp:effectExtent l="0" t="0" r="0" b="0"/>
            <wp:docPr id="7" name="Picture 7"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33386e-adcc-4f73-be01-d65aaf04f031.jpg"/>
                    <pic:cNvPicPr/>
                  </pic:nvPicPr>
                  <pic:blipFill>
                    <a:blip r:embed="rId12">
                      <a:extLst>
                        <a:ext uri="{28A0092B-C50C-407E-A947-70E740481C1C}">
                          <a14:useLocalDpi xmlns:a14="http://schemas.microsoft.com/office/drawing/2010/main" val="0"/>
                        </a:ext>
                      </a:extLst>
                    </a:blip>
                    <a:stretch>
                      <a:fillRect/>
                    </a:stretch>
                  </pic:blipFill>
                  <pic:spPr>
                    <a:xfrm>
                      <a:off x="0" y="0"/>
                      <a:ext cx="4698510" cy="5398267"/>
                    </a:xfrm>
                    <a:prstGeom prst="rect">
                      <a:avLst/>
                    </a:prstGeom>
                  </pic:spPr>
                </pic:pic>
              </a:graphicData>
            </a:graphic>
          </wp:inline>
        </w:drawing>
      </w:r>
    </w:p>
    <w:p w14:paraId="4C2DB390" w14:textId="154BE884" w:rsidR="005F16BD" w:rsidRDefault="005F16BD" w:rsidP="005F16BD">
      <w:pPr>
        <w:pStyle w:val="Standard"/>
      </w:pPr>
    </w:p>
    <w:p w14:paraId="104E6B0A" w14:textId="77777777" w:rsidR="005F16BD" w:rsidRDefault="005F16BD" w:rsidP="005F16BD">
      <w:pPr>
        <w:pStyle w:val="Standard"/>
        <w:rPr>
          <w:rFonts w:ascii="Verdana Pro" w:eastAsia="Calibri" w:hAnsi="Verdana Pro" w:cs="Times New Roman"/>
          <w:sz w:val="20"/>
          <w:szCs w:val="20"/>
          <w:lang w:eastAsia="en-US"/>
        </w:rPr>
      </w:pPr>
    </w:p>
    <w:p w14:paraId="2B6D1C4D" w14:textId="77777777" w:rsidR="005F16BD" w:rsidRDefault="005F16BD" w:rsidP="005F16BD">
      <w:pPr>
        <w:pStyle w:val="Standard"/>
        <w:jc w:val="center"/>
        <w:rPr>
          <w:rFonts w:ascii="Verdana Pro" w:eastAsia="Calibri" w:hAnsi="Verdana Pro" w:cs="Times New Roman"/>
          <w:sz w:val="20"/>
          <w:szCs w:val="20"/>
          <w:lang w:eastAsia="en-US"/>
        </w:rPr>
      </w:pPr>
    </w:p>
    <w:p w14:paraId="13E37C42" w14:textId="77777777"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The VTOL Fixed Wing UAV Aerial Video Surveillance 3D Survey Mapping Drone, features vertical take-off and landing, has low requirements for landing and landing points, high operating efficiency, has a simple structure, and is easy to operate in a short time. It is capable of full autonomous flight, one-button take-off, is safe and efficient, has high security double protection for emergency landing and open umbrella. The duration of flight is 120 minutes, and the Aircraft Parameters Cruise speed is 60-100km/h. The aircraft length is 1.45m, wing width 2.5m, and the maximum take-off weight is 12kg.  The Satellite navigation has [real-time GPS/GLONASS/Galileo/B Multi-system signal reception]; and it comes with high precision and high dynamic motion measurement.</w:t>
      </w:r>
    </w:p>
    <w:p w14:paraId="1922B1FE" w14:textId="77777777" w:rsidR="005F16BD" w:rsidRDefault="005F16BD" w:rsidP="005F16BD">
      <w:pPr>
        <w:pStyle w:val="Standard"/>
        <w:rPr>
          <w:rFonts w:ascii="Verdana Pro" w:eastAsia="Calibri" w:hAnsi="Verdana Pro" w:cs="Times New Roman"/>
          <w:sz w:val="20"/>
          <w:szCs w:val="20"/>
          <w:lang w:eastAsia="en-US"/>
        </w:rPr>
      </w:pPr>
    </w:p>
    <w:p w14:paraId="631311B9" w14:textId="77777777" w:rsidR="005F16BD" w:rsidRDefault="005F16BD" w:rsidP="005F16BD">
      <w:pPr>
        <w:pStyle w:val="Standard"/>
        <w:rPr>
          <w:rFonts w:ascii="Verdana Pro" w:eastAsia="Calibri" w:hAnsi="Verdana Pro" w:cs="Times New Roman"/>
          <w:sz w:val="20"/>
          <w:szCs w:val="20"/>
          <w:lang w:eastAsia="en-US"/>
        </w:rPr>
      </w:pPr>
    </w:p>
    <w:p w14:paraId="6D9BC5BD" w14:textId="77777777" w:rsidR="005F16BD" w:rsidRDefault="005F16BD" w:rsidP="005F16BD">
      <w:pPr>
        <w:pStyle w:val="Standard"/>
        <w:rPr>
          <w:rFonts w:ascii="Verdana Pro" w:eastAsia="Calibri" w:hAnsi="Verdana Pro" w:cs="Times New Roman"/>
          <w:sz w:val="20"/>
          <w:szCs w:val="20"/>
          <w:lang w:eastAsia="en-US"/>
        </w:rPr>
      </w:pPr>
    </w:p>
    <w:p w14:paraId="0BFDD435" w14:textId="77777777" w:rsidR="005F16BD" w:rsidRDefault="005F16BD" w:rsidP="005F16BD">
      <w:pPr>
        <w:pStyle w:val="Standard"/>
        <w:jc w:val="center"/>
      </w:pPr>
      <w:r>
        <w:rPr>
          <w:rFonts w:ascii="Verdana Pro" w:hAnsi="Verdana Pro" w:cs="Times New Roman"/>
          <w:b/>
          <w:bCs/>
          <w:noProof/>
          <w:color w:val="1F3864"/>
          <w:sz w:val="48"/>
          <w:szCs w:val="48"/>
        </w:rPr>
        <w:drawing>
          <wp:inline distT="0" distB="0" distL="0" distR="0" wp14:anchorId="734F8FA0" wp14:editId="3FBC970B">
            <wp:extent cx="5633702" cy="3971925"/>
            <wp:effectExtent l="0" t="0" r="5715" b="0"/>
            <wp:docPr id="34" name="Picture 40" descr="A plane sitting on top of a dirt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50816" cy="3983991"/>
                    </a:xfrm>
                    <a:prstGeom prst="rect">
                      <a:avLst/>
                    </a:prstGeom>
                    <a:noFill/>
                    <a:ln>
                      <a:noFill/>
                      <a:prstDash/>
                    </a:ln>
                  </pic:spPr>
                </pic:pic>
              </a:graphicData>
            </a:graphic>
          </wp:inline>
        </w:drawing>
      </w:r>
    </w:p>
    <w:p w14:paraId="7B8D2C3B" w14:textId="71E6C240" w:rsidR="009B4012" w:rsidRDefault="009B4012" w:rsidP="005F16BD">
      <w:pPr>
        <w:pStyle w:val="Standard"/>
        <w:rPr>
          <w:rFonts w:ascii="Verdana Pro" w:hAnsi="Verdana Pro" w:cs="Times New Roman"/>
          <w:b/>
          <w:bCs/>
          <w:color w:val="1F3864"/>
          <w:sz w:val="20"/>
          <w:szCs w:val="20"/>
        </w:rPr>
      </w:pPr>
    </w:p>
    <w:p w14:paraId="3CB703F7" w14:textId="7F84F9D6" w:rsidR="009B4012" w:rsidRPr="009B4012" w:rsidRDefault="009B4012" w:rsidP="009B4012">
      <w:pPr>
        <w:pStyle w:val="Standard"/>
        <w:jc w:val="center"/>
        <w:rPr>
          <w:rFonts w:ascii="Verdana Pro" w:hAnsi="Verdana Pro" w:cs="Times New Roman"/>
          <w:b/>
          <w:bCs/>
          <w:color w:val="1F3864"/>
          <w:sz w:val="20"/>
          <w:szCs w:val="20"/>
        </w:rPr>
      </w:pPr>
      <w:r>
        <w:rPr>
          <w:rFonts w:ascii="Verdana Pro" w:eastAsia="Calibri" w:hAnsi="Verdana Pro" w:cs="Times New Roman"/>
          <w:b/>
          <w:bCs/>
          <w:sz w:val="20"/>
          <w:szCs w:val="20"/>
          <w:lang w:eastAsia="en-US"/>
        </w:rPr>
        <w:t>Images of t</w:t>
      </w:r>
      <w:r w:rsidRPr="009B4012">
        <w:rPr>
          <w:rFonts w:ascii="Verdana Pro" w:eastAsia="Calibri" w:hAnsi="Verdana Pro" w:cs="Times New Roman"/>
          <w:b/>
          <w:bCs/>
          <w:sz w:val="20"/>
          <w:szCs w:val="20"/>
          <w:lang w:eastAsia="en-US"/>
        </w:rPr>
        <w:t>he VTOL Fixed Wing UAV Aerial Video Surveillance Mapping Drone</w:t>
      </w:r>
      <w:r>
        <w:rPr>
          <w:rFonts w:ascii="Verdana Pro" w:eastAsia="Calibri" w:hAnsi="Verdana Pro" w:cs="Times New Roman"/>
          <w:b/>
          <w:bCs/>
          <w:sz w:val="20"/>
          <w:szCs w:val="20"/>
          <w:lang w:eastAsia="en-US"/>
        </w:rPr>
        <w:t>.</w:t>
      </w:r>
    </w:p>
    <w:p w14:paraId="7CD2EAFC" w14:textId="77777777" w:rsidR="005F16BD" w:rsidRDefault="005F16BD" w:rsidP="005F16BD">
      <w:pPr>
        <w:pStyle w:val="Standard"/>
        <w:jc w:val="center"/>
      </w:pPr>
      <w:r>
        <w:rPr>
          <w:rFonts w:ascii="Verdana Pro" w:hAnsi="Verdana Pro" w:cs="Times New Roman"/>
          <w:b/>
          <w:bCs/>
          <w:noProof/>
          <w:color w:val="1F3864"/>
          <w:sz w:val="48"/>
          <w:szCs w:val="48"/>
        </w:rPr>
        <w:drawing>
          <wp:inline distT="0" distB="0" distL="0" distR="0" wp14:anchorId="69783AD0" wp14:editId="44752B1C">
            <wp:extent cx="3980026" cy="2881292"/>
            <wp:effectExtent l="0" t="0" r="1424" b="0"/>
            <wp:docPr id="35" name="Picture 41" descr="A close up of a speak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80026" cy="2881292"/>
                    </a:xfrm>
                    <a:prstGeom prst="rect">
                      <a:avLst/>
                    </a:prstGeom>
                    <a:noFill/>
                    <a:ln>
                      <a:noFill/>
                      <a:prstDash/>
                    </a:ln>
                  </pic:spPr>
                </pic:pic>
              </a:graphicData>
            </a:graphic>
          </wp:inline>
        </w:drawing>
      </w:r>
    </w:p>
    <w:p w14:paraId="428DB052" w14:textId="77777777" w:rsidR="005F16BD" w:rsidRDefault="005F16BD" w:rsidP="005F16BD">
      <w:pPr>
        <w:pStyle w:val="Standard"/>
        <w:jc w:val="center"/>
        <w:rPr>
          <w:rFonts w:ascii="Verdana Pro" w:hAnsi="Verdana Pro" w:cs="Times New Roman"/>
          <w:b/>
          <w:bCs/>
          <w:sz w:val="20"/>
          <w:szCs w:val="20"/>
        </w:rPr>
      </w:pPr>
      <w:r>
        <w:rPr>
          <w:rFonts w:ascii="Verdana Pro" w:hAnsi="Verdana Pro" w:cs="Times New Roman"/>
          <w:b/>
          <w:bCs/>
          <w:sz w:val="20"/>
          <w:szCs w:val="20"/>
        </w:rPr>
        <w:t>The camera of the drone.</w:t>
      </w:r>
    </w:p>
    <w:p w14:paraId="59BC23C3" w14:textId="77777777" w:rsidR="005F16BD" w:rsidRDefault="005F16BD" w:rsidP="005F16BD">
      <w:pPr>
        <w:pStyle w:val="Standard"/>
      </w:pPr>
      <w:r>
        <w:rPr>
          <w:rFonts w:ascii="Verdana Pro" w:hAnsi="Verdana Pro" w:cs="Times New Roman"/>
          <w:b/>
          <w:bCs/>
          <w:noProof/>
          <w:color w:val="1F3864"/>
          <w:sz w:val="48"/>
          <w:szCs w:val="48"/>
        </w:rPr>
        <w:lastRenderedPageBreak/>
        <w:drawing>
          <wp:inline distT="0" distB="0" distL="0" distR="0" wp14:anchorId="5E039A13" wp14:editId="4B3AC0FD">
            <wp:extent cx="5731514" cy="3707763"/>
            <wp:effectExtent l="0" t="0" r="2536" b="6987"/>
            <wp:docPr id="36" name="Picture 42" descr="A picture containing indoor, sitting, computer,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4" cy="3707763"/>
                    </a:xfrm>
                    <a:prstGeom prst="rect">
                      <a:avLst/>
                    </a:prstGeom>
                    <a:noFill/>
                    <a:ln>
                      <a:noFill/>
                      <a:prstDash/>
                    </a:ln>
                  </pic:spPr>
                </pic:pic>
              </a:graphicData>
            </a:graphic>
          </wp:inline>
        </w:drawing>
      </w:r>
    </w:p>
    <w:p w14:paraId="21B4E840" w14:textId="77777777" w:rsidR="005F16BD" w:rsidRDefault="005F16BD" w:rsidP="005F16BD">
      <w:pPr>
        <w:pStyle w:val="Standard"/>
        <w:rPr>
          <w:rFonts w:ascii="Verdana Pro" w:hAnsi="Verdana Pro" w:cs="Times New Roman"/>
          <w:b/>
          <w:bCs/>
          <w:color w:val="1F3864"/>
          <w:sz w:val="20"/>
          <w:szCs w:val="20"/>
        </w:rPr>
      </w:pPr>
    </w:p>
    <w:p w14:paraId="343EB51E" w14:textId="77777777" w:rsidR="005F16BD" w:rsidRDefault="005F16BD" w:rsidP="005F16BD">
      <w:pPr>
        <w:pStyle w:val="Standard"/>
        <w:jc w:val="center"/>
        <w:rPr>
          <w:rFonts w:ascii="Verdana Pro" w:hAnsi="Verdana Pro" w:cs="Times New Roman"/>
          <w:b/>
          <w:bCs/>
          <w:sz w:val="20"/>
          <w:szCs w:val="20"/>
        </w:rPr>
      </w:pPr>
      <w:r>
        <w:rPr>
          <w:rFonts w:ascii="Verdana Pro" w:hAnsi="Verdana Pro" w:cs="Times New Roman"/>
          <w:b/>
          <w:bCs/>
          <w:sz w:val="20"/>
          <w:szCs w:val="20"/>
        </w:rPr>
        <w:t>Different angles viewed from inside the camera.</w:t>
      </w:r>
    </w:p>
    <w:p w14:paraId="64B71FE1" w14:textId="77777777" w:rsidR="005F16BD" w:rsidRDefault="005F16BD" w:rsidP="005F16BD">
      <w:pPr>
        <w:pStyle w:val="Standard"/>
        <w:jc w:val="center"/>
        <w:rPr>
          <w:rFonts w:ascii="Verdana Pro" w:hAnsi="Verdana Pro" w:cs="Times New Roman"/>
          <w:b/>
          <w:bCs/>
          <w:sz w:val="20"/>
          <w:szCs w:val="20"/>
        </w:rPr>
      </w:pPr>
    </w:p>
    <w:p w14:paraId="604EEEBA" w14:textId="77777777" w:rsidR="005F16BD" w:rsidRDefault="005F16BD" w:rsidP="005F16BD">
      <w:pPr>
        <w:pStyle w:val="Standard"/>
        <w:jc w:val="center"/>
      </w:pPr>
      <w:r>
        <w:rPr>
          <w:rFonts w:ascii="Verdana Pro" w:hAnsi="Verdana Pro" w:cs="Times New Roman"/>
          <w:b/>
          <w:bCs/>
          <w:noProof/>
          <w:sz w:val="20"/>
          <w:szCs w:val="20"/>
        </w:rPr>
        <w:drawing>
          <wp:inline distT="0" distB="0" distL="0" distR="0" wp14:anchorId="280A8DF1" wp14:editId="4D267CD2">
            <wp:extent cx="4982767" cy="3206115"/>
            <wp:effectExtent l="0" t="0" r="8890" b="0"/>
            <wp:docPr id="37" name="Picture 43" descr="A picture containing indoor, sitting, electronic, o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95566" cy="3214351"/>
                    </a:xfrm>
                    <a:prstGeom prst="rect">
                      <a:avLst/>
                    </a:prstGeom>
                    <a:noFill/>
                    <a:ln>
                      <a:noFill/>
                      <a:prstDash/>
                    </a:ln>
                  </pic:spPr>
                </pic:pic>
              </a:graphicData>
            </a:graphic>
          </wp:inline>
        </w:drawing>
      </w:r>
    </w:p>
    <w:p w14:paraId="4F29364D" w14:textId="22F200B7" w:rsidR="005F16BD" w:rsidRDefault="005F16BD" w:rsidP="005F16BD">
      <w:pPr>
        <w:pStyle w:val="Standard"/>
        <w:jc w:val="center"/>
        <w:rPr>
          <w:rFonts w:ascii="Verdana Pro" w:hAnsi="Verdana Pro" w:cs="Times New Roman"/>
          <w:b/>
          <w:bCs/>
          <w:sz w:val="20"/>
          <w:szCs w:val="20"/>
        </w:rPr>
      </w:pPr>
      <w:r>
        <w:rPr>
          <w:rFonts w:ascii="Verdana Pro" w:hAnsi="Verdana Pro" w:cs="Times New Roman"/>
          <w:b/>
          <w:bCs/>
          <w:sz w:val="20"/>
          <w:szCs w:val="20"/>
        </w:rPr>
        <w:t>The drone data communications transponder.</w:t>
      </w:r>
    </w:p>
    <w:p w14:paraId="72D05941" w14:textId="77777777" w:rsidR="005F16BD" w:rsidRDefault="005F16BD" w:rsidP="005F16BD">
      <w:pPr>
        <w:pStyle w:val="Standard"/>
        <w:jc w:val="center"/>
      </w:pPr>
      <w:r>
        <w:rPr>
          <w:rFonts w:ascii="Verdana Pro" w:hAnsi="Verdana Pro" w:cs="Times New Roman"/>
          <w:b/>
          <w:bCs/>
          <w:noProof/>
          <w:color w:val="1F3864"/>
          <w:sz w:val="48"/>
          <w:szCs w:val="48"/>
        </w:rPr>
        <w:lastRenderedPageBreak/>
        <w:drawing>
          <wp:inline distT="0" distB="0" distL="0" distR="0" wp14:anchorId="2B02FFC1" wp14:editId="19496D5A">
            <wp:extent cx="5543550" cy="3434596"/>
            <wp:effectExtent l="0" t="0" r="0" b="0"/>
            <wp:docPr id="38" name="Picture 44" descr="A close up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50446" cy="3438869"/>
                    </a:xfrm>
                    <a:prstGeom prst="rect">
                      <a:avLst/>
                    </a:prstGeom>
                    <a:noFill/>
                    <a:ln>
                      <a:noFill/>
                      <a:prstDash/>
                    </a:ln>
                  </pic:spPr>
                </pic:pic>
              </a:graphicData>
            </a:graphic>
          </wp:inline>
        </w:drawing>
      </w:r>
    </w:p>
    <w:p w14:paraId="2E778851" w14:textId="59F9D733" w:rsidR="005F16BD" w:rsidRDefault="005F16BD" w:rsidP="005F16BD">
      <w:pPr>
        <w:pStyle w:val="Standard"/>
        <w:jc w:val="center"/>
        <w:rPr>
          <w:rFonts w:ascii="Verdana Pro" w:hAnsi="Verdana Pro" w:cs="Times New Roman"/>
          <w:b/>
          <w:bCs/>
          <w:sz w:val="20"/>
          <w:szCs w:val="20"/>
        </w:rPr>
      </w:pPr>
      <w:r>
        <w:rPr>
          <w:rFonts w:ascii="Verdana Pro" w:hAnsi="Verdana Pro" w:cs="Times New Roman"/>
          <w:b/>
          <w:bCs/>
          <w:sz w:val="20"/>
          <w:szCs w:val="20"/>
        </w:rPr>
        <w:t>Imaging captured by the drone.</w:t>
      </w:r>
    </w:p>
    <w:p w14:paraId="60C19B03" w14:textId="77777777" w:rsidR="003C0320" w:rsidRDefault="003C0320" w:rsidP="005F16BD">
      <w:pPr>
        <w:pStyle w:val="Standard"/>
        <w:jc w:val="center"/>
        <w:rPr>
          <w:rFonts w:ascii="Verdana Pro" w:hAnsi="Verdana Pro" w:cs="Times New Roman"/>
          <w:b/>
          <w:bCs/>
          <w:sz w:val="20"/>
          <w:szCs w:val="20"/>
        </w:rPr>
      </w:pPr>
    </w:p>
    <w:p w14:paraId="3AB54A5E" w14:textId="77777777" w:rsidR="005F16BD" w:rsidRDefault="005F16BD" w:rsidP="005F16BD">
      <w:pPr>
        <w:pStyle w:val="Standard"/>
        <w:jc w:val="center"/>
      </w:pPr>
      <w:r>
        <w:rPr>
          <w:rFonts w:ascii="Verdana Pro" w:hAnsi="Verdana Pro" w:cs="Times New Roman"/>
          <w:b/>
          <w:bCs/>
          <w:noProof/>
          <w:sz w:val="20"/>
          <w:szCs w:val="20"/>
        </w:rPr>
        <w:drawing>
          <wp:inline distT="0" distB="0" distL="0" distR="0" wp14:anchorId="695E88A1" wp14:editId="4FD92F56">
            <wp:extent cx="5629275" cy="3158490"/>
            <wp:effectExtent l="0" t="0" r="9525" b="3810"/>
            <wp:docPr id="39" name="Picture 45" descr="A picture containing indoor, sitting, table, de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30202" cy="3159010"/>
                    </a:xfrm>
                    <a:prstGeom prst="rect">
                      <a:avLst/>
                    </a:prstGeom>
                    <a:noFill/>
                    <a:ln>
                      <a:noFill/>
                      <a:prstDash/>
                    </a:ln>
                  </pic:spPr>
                </pic:pic>
              </a:graphicData>
            </a:graphic>
          </wp:inline>
        </w:drawing>
      </w:r>
    </w:p>
    <w:p w14:paraId="57F2C1CD" w14:textId="77777777" w:rsidR="005F16BD" w:rsidRDefault="005F16BD" w:rsidP="005F16BD">
      <w:pPr>
        <w:pStyle w:val="Standard"/>
        <w:jc w:val="center"/>
        <w:rPr>
          <w:rFonts w:ascii="Verdana Pro" w:hAnsi="Verdana Pro" w:cs="Times New Roman"/>
          <w:b/>
          <w:bCs/>
          <w:sz w:val="20"/>
          <w:szCs w:val="20"/>
        </w:rPr>
      </w:pPr>
    </w:p>
    <w:p w14:paraId="1701C485" w14:textId="77777777" w:rsidR="005F16BD" w:rsidRDefault="005F16BD" w:rsidP="009B4012">
      <w:pPr>
        <w:pStyle w:val="Standard"/>
        <w:jc w:val="center"/>
        <w:rPr>
          <w:rFonts w:ascii="Verdana Pro" w:hAnsi="Verdana Pro" w:cs="Times New Roman"/>
          <w:b/>
          <w:bCs/>
          <w:sz w:val="20"/>
          <w:szCs w:val="20"/>
        </w:rPr>
      </w:pPr>
      <w:r>
        <w:rPr>
          <w:rFonts w:ascii="Verdana Pro" w:hAnsi="Verdana Pro" w:cs="Times New Roman"/>
          <w:b/>
          <w:bCs/>
          <w:sz w:val="20"/>
          <w:szCs w:val="20"/>
        </w:rPr>
        <w:t>Electric Powered 2 Hours Endurance VTOL Fixed Wing UAV Aerial Video Surveillance 3D Survey Mapping Drone. The cost is $36,800.00.</w:t>
      </w:r>
    </w:p>
    <w:p w14:paraId="39DCDD23" w14:textId="77777777" w:rsidR="005F16BD" w:rsidRDefault="005F16BD" w:rsidP="005F16BD">
      <w:pPr>
        <w:pStyle w:val="Standard"/>
        <w:rPr>
          <w:rFonts w:ascii="Verdana Pro" w:hAnsi="Verdana Pro" w:cs="Times New Roman"/>
          <w:b/>
          <w:bCs/>
          <w:sz w:val="20"/>
          <w:szCs w:val="20"/>
        </w:rPr>
      </w:pPr>
    </w:p>
    <w:p w14:paraId="186712B4" w14:textId="77777777" w:rsidR="005F16BD" w:rsidRDefault="005F16BD" w:rsidP="005F16BD">
      <w:pPr>
        <w:pStyle w:val="Standard"/>
        <w:rPr>
          <w:rFonts w:ascii="Verdana Pro" w:hAnsi="Verdana Pro" w:cs="Times New Roman"/>
          <w:b/>
          <w:bCs/>
          <w:sz w:val="20"/>
          <w:szCs w:val="20"/>
        </w:rPr>
      </w:pPr>
      <w:r>
        <w:rPr>
          <w:rFonts w:ascii="Verdana Pro" w:hAnsi="Verdana Pro" w:cs="Times New Roman"/>
          <w:b/>
          <w:bCs/>
          <w:sz w:val="20"/>
          <w:szCs w:val="20"/>
        </w:rPr>
        <w:lastRenderedPageBreak/>
        <w:t>Private Security Veterans Operation</w:t>
      </w:r>
    </w:p>
    <w:p w14:paraId="45454ED8" w14:textId="77777777"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This includes domestic and foreign entities, with assets located in different countries. The team provides services that are essential to mobilize, deploy, and sustain military operations. This does not include the commercial infrastructure of providers for services such as power, communications, transportation, or utilities, which are addressed by other Sector-Specific Agencies.</w:t>
      </w:r>
    </w:p>
    <w:p w14:paraId="0EEE8AF0" w14:textId="77777777" w:rsidR="005F16BD" w:rsidRDefault="005F16BD" w:rsidP="005F16BD">
      <w:pPr>
        <w:pStyle w:val="Standard"/>
        <w:rPr>
          <w:rFonts w:ascii="Verdana Pro" w:eastAsia="Calibri" w:hAnsi="Verdana Pro" w:cs="Times New Roman"/>
          <w:sz w:val="20"/>
          <w:szCs w:val="20"/>
          <w:lang w:eastAsia="en-US"/>
        </w:rPr>
      </w:pPr>
    </w:p>
    <w:p w14:paraId="7054E430" w14:textId="77777777" w:rsidR="005F16BD" w:rsidRDefault="005F16BD" w:rsidP="005F16BD">
      <w:pPr>
        <w:pStyle w:val="Standard"/>
        <w:rPr>
          <w:rFonts w:ascii="Verdana Pro" w:eastAsia="Calibri" w:hAnsi="Verdana Pro" w:cs="Times New Roman"/>
          <w:sz w:val="20"/>
          <w:szCs w:val="20"/>
          <w:lang w:eastAsia="en-US"/>
        </w:rPr>
      </w:pPr>
    </w:p>
    <w:p w14:paraId="03C2FED3" w14:textId="77777777" w:rsidR="005F16BD" w:rsidRDefault="005F16BD" w:rsidP="005F16BD">
      <w:pPr>
        <w:pStyle w:val="Standard"/>
        <w:rPr>
          <w:rFonts w:ascii="Verdana Pro" w:eastAsia="Calibri" w:hAnsi="Verdana Pro" w:cs="Times New Roman"/>
          <w:sz w:val="20"/>
          <w:szCs w:val="20"/>
          <w:lang w:eastAsia="en-US"/>
        </w:rPr>
      </w:pPr>
    </w:p>
    <w:p w14:paraId="6AB6A204" w14:textId="77777777" w:rsidR="005F16BD" w:rsidRDefault="005F16BD" w:rsidP="005F16BD">
      <w:pPr>
        <w:pStyle w:val="Standard"/>
        <w:jc w:val="center"/>
      </w:pPr>
      <w:r>
        <w:rPr>
          <w:rFonts w:ascii="Verdana Pro" w:eastAsia="Calibri" w:hAnsi="Verdana Pro" w:cs="Times New Roman"/>
          <w:noProof/>
          <w:sz w:val="20"/>
          <w:szCs w:val="20"/>
          <w:lang w:eastAsia="en-US"/>
        </w:rPr>
        <w:drawing>
          <wp:inline distT="0" distB="0" distL="0" distR="0" wp14:anchorId="75ABFB00" wp14:editId="61C919B2">
            <wp:extent cx="5876089" cy="3917170"/>
            <wp:effectExtent l="0" t="0" r="0" b="7130"/>
            <wp:docPr id="40" name="Picture 46" descr="A person wearing a military uni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76089" cy="3917170"/>
                    </a:xfrm>
                    <a:prstGeom prst="rect">
                      <a:avLst/>
                    </a:prstGeom>
                    <a:noFill/>
                    <a:ln>
                      <a:noFill/>
                      <a:prstDash/>
                    </a:ln>
                  </pic:spPr>
                </pic:pic>
              </a:graphicData>
            </a:graphic>
          </wp:inline>
        </w:drawing>
      </w:r>
    </w:p>
    <w:p w14:paraId="7B726A96" w14:textId="77777777" w:rsidR="005F16BD" w:rsidRDefault="005F16BD" w:rsidP="005F16BD">
      <w:pPr>
        <w:pStyle w:val="Standard"/>
        <w:rPr>
          <w:rFonts w:ascii="Verdana Pro" w:eastAsia="Calibri" w:hAnsi="Verdana Pro" w:cs="Times New Roman"/>
          <w:sz w:val="20"/>
          <w:szCs w:val="20"/>
          <w:lang w:eastAsia="en-US"/>
        </w:rPr>
      </w:pPr>
    </w:p>
    <w:p w14:paraId="6F6FF559" w14:textId="77777777" w:rsidR="005F16BD" w:rsidRDefault="005F16BD" w:rsidP="005F16BD">
      <w:pPr>
        <w:pStyle w:val="Standard"/>
        <w:rPr>
          <w:rFonts w:ascii="Verdana Pro" w:eastAsia="Calibri" w:hAnsi="Verdana Pro" w:cs="Times New Roman"/>
          <w:sz w:val="20"/>
          <w:szCs w:val="20"/>
          <w:lang w:eastAsia="en-US"/>
        </w:rPr>
      </w:pPr>
    </w:p>
    <w:p w14:paraId="35245716" w14:textId="77777777"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The private sector veteran operation’s main task is to fortify Peru's gold mine with armed forces and to assist in the planning operations (including psychological operations), training, logistics, intelligence, personnel management and drone surveillance coverage.</w:t>
      </w:r>
    </w:p>
    <w:p w14:paraId="4E2DB54B" w14:textId="77777777" w:rsidR="005F16BD" w:rsidRDefault="005F16BD" w:rsidP="005F16BD">
      <w:pPr>
        <w:pStyle w:val="Standard"/>
        <w:jc w:val="center"/>
      </w:pPr>
      <w:r>
        <w:rPr>
          <w:rFonts w:ascii="Verdana Pro" w:eastAsia="Calibri" w:hAnsi="Verdana Pro" w:cs="Times New Roman"/>
          <w:noProof/>
          <w:sz w:val="20"/>
          <w:szCs w:val="20"/>
          <w:lang w:eastAsia="en-US"/>
        </w:rPr>
        <w:lastRenderedPageBreak/>
        <w:drawing>
          <wp:inline distT="0" distB="0" distL="0" distR="0" wp14:anchorId="7AEBB4AD" wp14:editId="3F7F4A15">
            <wp:extent cx="5421505" cy="3390247"/>
            <wp:effectExtent l="0" t="0" r="7745" b="653"/>
            <wp:docPr id="41" name="Picture 47" descr="A group of people in uniform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1505" cy="3390247"/>
                    </a:xfrm>
                    <a:prstGeom prst="rect">
                      <a:avLst/>
                    </a:prstGeom>
                    <a:noFill/>
                    <a:ln>
                      <a:noFill/>
                      <a:prstDash/>
                    </a:ln>
                  </pic:spPr>
                </pic:pic>
              </a:graphicData>
            </a:graphic>
          </wp:inline>
        </w:drawing>
      </w:r>
    </w:p>
    <w:p w14:paraId="4A90D0F7" w14:textId="77777777" w:rsidR="005F16BD" w:rsidRDefault="005F16BD" w:rsidP="005F16BD">
      <w:pPr>
        <w:pStyle w:val="Standard"/>
        <w:jc w:val="center"/>
        <w:rPr>
          <w:rFonts w:ascii="Verdana Pro" w:eastAsia="Calibri" w:hAnsi="Verdana Pro" w:cs="Times New Roman"/>
          <w:sz w:val="20"/>
          <w:szCs w:val="20"/>
          <w:lang w:eastAsia="en-US"/>
        </w:rPr>
      </w:pPr>
    </w:p>
    <w:p w14:paraId="30AD81F4" w14:textId="36A4BE48"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b/>
          <w:bCs/>
          <w:sz w:val="20"/>
          <w:szCs w:val="20"/>
          <w:lang w:eastAsia="en-US"/>
        </w:rPr>
        <w:t>Contract Implementation is over an eighteen (18) month timeframe, and the cost is $1 to $3 million dollars for a 5 to 10-man team.</w:t>
      </w:r>
      <w:r>
        <w:rPr>
          <w:rFonts w:ascii="Verdana Pro" w:eastAsia="Calibri" w:hAnsi="Verdana Pro" w:cs="Times New Roman"/>
          <w:sz w:val="20"/>
          <w:szCs w:val="20"/>
          <w:lang w:eastAsia="en-US"/>
        </w:rPr>
        <w:t xml:space="preserve"> </w:t>
      </w:r>
    </w:p>
    <w:p w14:paraId="6924B3CF" w14:textId="77777777" w:rsidR="009B4012" w:rsidRDefault="009B4012" w:rsidP="005F16BD">
      <w:pPr>
        <w:pStyle w:val="Standard"/>
      </w:pPr>
    </w:p>
    <w:p w14:paraId="0B5F288A" w14:textId="77777777" w:rsidR="005F16BD" w:rsidRDefault="005F16BD" w:rsidP="005F16BD">
      <w:pPr>
        <w:pStyle w:val="Standard"/>
        <w:jc w:val="center"/>
        <w:rPr>
          <w:rFonts w:ascii="Verdana Pro" w:eastAsia="Calibri" w:hAnsi="Verdana Pro" w:cs="Times New Roman"/>
          <w:sz w:val="20"/>
          <w:szCs w:val="20"/>
          <w:lang w:eastAsia="en-US"/>
        </w:rPr>
      </w:pPr>
    </w:p>
    <w:p w14:paraId="5CA2E0C4" w14:textId="77777777" w:rsidR="005F16BD" w:rsidRDefault="005F16BD" w:rsidP="005F16BD">
      <w:pPr>
        <w:pStyle w:val="Standard"/>
        <w:rPr>
          <w:rFonts w:ascii="Verdana Pro" w:hAnsi="Verdana Pro" w:cs="Times New Roman"/>
          <w:b/>
          <w:bCs/>
          <w:color w:val="1F3864"/>
          <w:sz w:val="46"/>
          <w:szCs w:val="46"/>
        </w:rPr>
      </w:pPr>
      <w:r>
        <w:rPr>
          <w:rFonts w:ascii="Verdana Pro" w:hAnsi="Verdana Pro" w:cs="Times New Roman"/>
          <w:b/>
          <w:bCs/>
          <w:color w:val="1F3864"/>
          <w:sz w:val="46"/>
          <w:szCs w:val="46"/>
        </w:rPr>
        <w:t>Budget for security infrastructure</w:t>
      </w:r>
    </w:p>
    <w:p w14:paraId="6F95A69A" w14:textId="49EDD025" w:rsidR="005F16BD" w:rsidRDefault="005F16BD" w:rsidP="005F16BD">
      <w:pPr>
        <w:pStyle w:val="Standard"/>
        <w:rPr>
          <w:rFonts w:ascii="Verdana Pro" w:eastAsia="Calibri" w:hAnsi="Verdana Pro" w:cs="Times New Roman"/>
          <w:sz w:val="20"/>
          <w:szCs w:val="20"/>
          <w:lang w:eastAsia="en-US"/>
        </w:rPr>
      </w:pPr>
      <w:r>
        <w:rPr>
          <w:rFonts w:ascii="Verdana Pro" w:eastAsia="Calibri" w:hAnsi="Verdana Pro" w:cs="Times New Roman"/>
          <w:sz w:val="20"/>
          <w:szCs w:val="20"/>
          <w:lang w:eastAsia="en-US"/>
        </w:rPr>
        <w:t>The table below details the estimated budget for the security infrastructure as of September 2020. Rates applied for time and materials.</w:t>
      </w:r>
    </w:p>
    <w:tbl>
      <w:tblPr>
        <w:tblW w:w="8926" w:type="dxa"/>
        <w:jc w:val="center"/>
        <w:tblLayout w:type="fixed"/>
        <w:tblCellMar>
          <w:left w:w="10" w:type="dxa"/>
          <w:right w:w="10" w:type="dxa"/>
        </w:tblCellMar>
        <w:tblLook w:val="0000" w:firstRow="0" w:lastRow="0" w:firstColumn="0" w:lastColumn="0" w:noHBand="0" w:noVBand="0"/>
      </w:tblPr>
      <w:tblGrid>
        <w:gridCol w:w="4463"/>
        <w:gridCol w:w="4463"/>
      </w:tblGrid>
      <w:tr w:rsidR="005F16BD" w14:paraId="60B26562" w14:textId="77777777" w:rsidTr="009C4789">
        <w:trPr>
          <w:trHeight w:val="537"/>
          <w:jc w:val="center"/>
        </w:trPr>
        <w:tc>
          <w:tcPr>
            <w:tcW w:w="4463" w:type="dxa"/>
            <w:tcBorders>
              <w:top w:val="single" w:sz="4" w:space="0" w:color="FFFFFF"/>
              <w:left w:val="single" w:sz="4" w:space="0" w:color="FFFFFF"/>
              <w:bottom w:val="single" w:sz="4" w:space="0" w:color="FFFFFF"/>
            </w:tcBorders>
            <w:shd w:val="clear" w:color="auto" w:fill="4472C4"/>
            <w:tcMar>
              <w:top w:w="0" w:type="dxa"/>
              <w:left w:w="108" w:type="dxa"/>
              <w:bottom w:w="0" w:type="dxa"/>
              <w:right w:w="108" w:type="dxa"/>
            </w:tcMar>
          </w:tcPr>
          <w:p w14:paraId="5B255542" w14:textId="77777777" w:rsidR="005F16BD" w:rsidRDefault="005F16BD" w:rsidP="00534BB0">
            <w:pPr>
              <w:pStyle w:val="Standard"/>
            </w:pPr>
            <w:r>
              <w:rPr>
                <w:rFonts w:ascii="Verdana Pro" w:hAnsi="Verdana Pro" w:cs="Verdana Pro"/>
                <w:b/>
                <w:bCs/>
                <w:color w:val="FFFFFF"/>
                <w:sz w:val="28"/>
                <w:szCs w:val="28"/>
              </w:rPr>
              <w:t>Description</w:t>
            </w:r>
          </w:p>
        </w:tc>
        <w:tc>
          <w:tcPr>
            <w:tcW w:w="4463" w:type="dxa"/>
            <w:tcBorders>
              <w:top w:val="single" w:sz="4" w:space="0" w:color="FFFFFF"/>
              <w:bottom w:val="single" w:sz="4" w:space="0" w:color="FFFFFF"/>
              <w:right w:val="single" w:sz="4" w:space="0" w:color="FFFFFF"/>
            </w:tcBorders>
            <w:shd w:val="clear" w:color="auto" w:fill="4472C4"/>
            <w:tcMar>
              <w:top w:w="0" w:type="dxa"/>
              <w:left w:w="108" w:type="dxa"/>
              <w:bottom w:w="0" w:type="dxa"/>
              <w:right w:w="108" w:type="dxa"/>
            </w:tcMar>
          </w:tcPr>
          <w:p w14:paraId="4244B3CC" w14:textId="77777777" w:rsidR="005F16BD" w:rsidRDefault="005F16BD" w:rsidP="00534BB0">
            <w:pPr>
              <w:pStyle w:val="Standard"/>
              <w:rPr>
                <w:rFonts w:ascii="Verdana Pro" w:hAnsi="Verdana Pro" w:cs="Verdana Pro"/>
                <w:b/>
                <w:bCs/>
                <w:color w:val="FFFFFF"/>
                <w:sz w:val="28"/>
                <w:szCs w:val="28"/>
              </w:rPr>
            </w:pPr>
            <w:r>
              <w:rPr>
                <w:rFonts w:ascii="Verdana Pro" w:hAnsi="Verdana Pro" w:cs="Verdana Pro"/>
                <w:b/>
                <w:bCs/>
                <w:color w:val="FFFFFF"/>
                <w:sz w:val="28"/>
                <w:szCs w:val="28"/>
              </w:rPr>
              <w:t>Estimate</w:t>
            </w:r>
          </w:p>
        </w:tc>
      </w:tr>
      <w:tr w:rsidR="005F16BD" w14:paraId="12D7860F" w14:textId="77777777" w:rsidTr="009C4789">
        <w:trPr>
          <w:trHeight w:val="472"/>
          <w:jc w:val="center"/>
        </w:trPr>
        <w:tc>
          <w:tcPr>
            <w:tcW w:w="4463"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tcPr>
          <w:p w14:paraId="0B525676" w14:textId="77777777" w:rsidR="005F16BD" w:rsidRDefault="005F16BD" w:rsidP="00534BB0">
            <w:pPr>
              <w:pStyle w:val="Standard"/>
              <w:rPr>
                <w:rFonts w:ascii="Verdana Pro" w:hAnsi="Verdana Pro" w:cs="Verdana Pro"/>
                <w:b/>
                <w:bCs/>
                <w:color w:val="FFFFFF"/>
                <w:sz w:val="20"/>
                <w:szCs w:val="20"/>
              </w:rPr>
            </w:pPr>
            <w:r>
              <w:rPr>
                <w:rFonts w:ascii="Verdana Pro" w:hAnsi="Verdana Pro" w:cs="Verdana Pro"/>
                <w:b/>
                <w:bCs/>
                <w:color w:val="FFFFFF"/>
                <w:sz w:val="20"/>
                <w:szCs w:val="20"/>
              </w:rPr>
              <w:t>Cost of real-time data per month</w:t>
            </w:r>
          </w:p>
        </w:tc>
        <w:tc>
          <w:tcPr>
            <w:tcW w:w="446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4E6BA64C" w14:textId="77777777" w:rsidR="005F16BD" w:rsidRDefault="005F16BD" w:rsidP="00534BB0">
            <w:pPr>
              <w:pStyle w:val="Standard"/>
              <w:rPr>
                <w:rFonts w:ascii="Verdana Pro" w:hAnsi="Verdana Pro" w:cs="Verdana Pro"/>
              </w:rPr>
            </w:pPr>
            <w:r>
              <w:rPr>
                <w:rFonts w:ascii="Verdana Pro" w:hAnsi="Verdana Pro" w:cs="Verdana Pro"/>
              </w:rPr>
              <w:t>$94,650.00</w:t>
            </w:r>
          </w:p>
        </w:tc>
      </w:tr>
      <w:tr w:rsidR="005F16BD" w14:paraId="25FE1B19" w14:textId="77777777" w:rsidTr="009C4789">
        <w:trPr>
          <w:trHeight w:val="456"/>
          <w:jc w:val="center"/>
        </w:trPr>
        <w:tc>
          <w:tcPr>
            <w:tcW w:w="4463"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tcPr>
          <w:p w14:paraId="0904290B" w14:textId="77777777" w:rsidR="005F16BD" w:rsidRDefault="005F16BD" w:rsidP="00534BB0">
            <w:pPr>
              <w:pStyle w:val="Standard"/>
              <w:rPr>
                <w:rFonts w:ascii="Verdana Pro" w:hAnsi="Verdana Pro" w:cs="Verdana Pro"/>
                <w:b/>
                <w:bCs/>
                <w:color w:val="FFFFFF"/>
                <w:sz w:val="20"/>
                <w:szCs w:val="20"/>
              </w:rPr>
            </w:pPr>
            <w:r>
              <w:rPr>
                <w:rFonts w:ascii="Verdana Pro" w:hAnsi="Verdana Pro" w:cs="Verdana Pro"/>
                <w:b/>
                <w:bCs/>
                <w:color w:val="FFFFFF"/>
                <w:sz w:val="20"/>
                <w:szCs w:val="20"/>
              </w:rPr>
              <w:t>Hikvision camera equipment</w:t>
            </w:r>
          </w:p>
        </w:tc>
        <w:tc>
          <w:tcPr>
            <w:tcW w:w="4463"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tcPr>
          <w:p w14:paraId="4E0EB9E3" w14:textId="77777777" w:rsidR="005F16BD" w:rsidRDefault="005F16BD" w:rsidP="00534BB0">
            <w:pPr>
              <w:pStyle w:val="Standard"/>
              <w:rPr>
                <w:rFonts w:ascii="Verdana Pro" w:hAnsi="Verdana Pro" w:cs="Verdana Pro"/>
              </w:rPr>
            </w:pPr>
            <w:r>
              <w:rPr>
                <w:rFonts w:ascii="Verdana Pro" w:hAnsi="Verdana Pro" w:cs="Verdana Pro"/>
              </w:rPr>
              <w:t>$25,860.00</w:t>
            </w:r>
          </w:p>
        </w:tc>
      </w:tr>
      <w:tr w:rsidR="005F16BD" w14:paraId="76504A8F" w14:textId="77777777" w:rsidTr="009C4789">
        <w:trPr>
          <w:trHeight w:val="717"/>
          <w:jc w:val="center"/>
        </w:trPr>
        <w:tc>
          <w:tcPr>
            <w:tcW w:w="4463"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tcPr>
          <w:p w14:paraId="785F4FBE" w14:textId="77777777" w:rsidR="005F16BD" w:rsidRDefault="005F16BD" w:rsidP="00534BB0">
            <w:pPr>
              <w:pStyle w:val="Standard"/>
              <w:rPr>
                <w:rFonts w:ascii="Verdana Pro" w:hAnsi="Verdana Pro" w:cs="Verdana Pro"/>
                <w:b/>
                <w:bCs/>
                <w:color w:val="FFFFFF"/>
                <w:sz w:val="20"/>
                <w:szCs w:val="20"/>
              </w:rPr>
            </w:pPr>
            <w:r>
              <w:rPr>
                <w:rFonts w:ascii="Verdana Pro" w:hAnsi="Verdana Pro" w:cs="Verdana Pro"/>
                <w:b/>
                <w:bCs/>
                <w:color w:val="FFFFFF"/>
                <w:sz w:val="20"/>
                <w:szCs w:val="20"/>
              </w:rPr>
              <w:t>Cyber threat intelligence operation per month</w:t>
            </w:r>
          </w:p>
        </w:tc>
        <w:tc>
          <w:tcPr>
            <w:tcW w:w="446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709DF1C0" w14:textId="77777777" w:rsidR="005F16BD" w:rsidRDefault="005F16BD" w:rsidP="00534BB0">
            <w:pPr>
              <w:pStyle w:val="Standard"/>
            </w:pPr>
            <w:r>
              <w:rPr>
                <w:rFonts w:ascii="Verdana Pro" w:hAnsi="Verdana Pro" w:cs="Verdana Pro"/>
              </w:rPr>
              <w:t>$120,000.00</w:t>
            </w:r>
          </w:p>
        </w:tc>
      </w:tr>
      <w:tr w:rsidR="005F16BD" w14:paraId="17667F08" w14:textId="77777777" w:rsidTr="009C4789">
        <w:trPr>
          <w:trHeight w:val="456"/>
          <w:jc w:val="center"/>
        </w:trPr>
        <w:tc>
          <w:tcPr>
            <w:tcW w:w="4463"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tcPr>
          <w:p w14:paraId="71645EA4" w14:textId="77777777" w:rsidR="005F16BD" w:rsidRDefault="005F16BD" w:rsidP="00534BB0">
            <w:pPr>
              <w:pStyle w:val="Standard"/>
              <w:rPr>
                <w:rFonts w:ascii="Verdana Pro" w:hAnsi="Verdana Pro" w:cs="Verdana Pro"/>
                <w:b/>
                <w:bCs/>
                <w:color w:val="FFFFFF"/>
                <w:sz w:val="20"/>
                <w:szCs w:val="20"/>
              </w:rPr>
            </w:pPr>
            <w:r>
              <w:rPr>
                <w:rFonts w:ascii="Verdana Pro" w:hAnsi="Verdana Pro" w:cs="Verdana Pro"/>
                <w:b/>
                <w:bCs/>
                <w:color w:val="FFFFFF"/>
                <w:sz w:val="20"/>
                <w:szCs w:val="20"/>
              </w:rPr>
              <w:t>VTOL mapping drone equipment</w:t>
            </w:r>
          </w:p>
        </w:tc>
        <w:tc>
          <w:tcPr>
            <w:tcW w:w="446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4CFCC035" w14:textId="77777777" w:rsidR="005F16BD" w:rsidRDefault="005F16BD" w:rsidP="00534BB0">
            <w:pPr>
              <w:pStyle w:val="Standard"/>
              <w:rPr>
                <w:rFonts w:ascii="Verdana Pro" w:hAnsi="Verdana Pro" w:cs="Verdana Pro"/>
              </w:rPr>
            </w:pPr>
            <w:r>
              <w:rPr>
                <w:rFonts w:ascii="Verdana Pro" w:hAnsi="Verdana Pro" w:cs="Verdana Pro"/>
              </w:rPr>
              <w:t>$36,800.00</w:t>
            </w:r>
          </w:p>
        </w:tc>
      </w:tr>
      <w:tr w:rsidR="005F16BD" w14:paraId="6F704649" w14:textId="77777777" w:rsidTr="009C4789">
        <w:trPr>
          <w:trHeight w:val="380"/>
          <w:jc w:val="center"/>
        </w:trPr>
        <w:tc>
          <w:tcPr>
            <w:tcW w:w="4463"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tcPr>
          <w:p w14:paraId="4EA7E252" w14:textId="77777777" w:rsidR="005F16BD" w:rsidRDefault="005F16BD" w:rsidP="00534BB0">
            <w:pPr>
              <w:pStyle w:val="Standard"/>
              <w:rPr>
                <w:rFonts w:ascii="Verdana Pro" w:hAnsi="Verdana Pro" w:cs="Verdana Pro"/>
                <w:b/>
                <w:bCs/>
                <w:color w:val="FFFFFF"/>
                <w:sz w:val="20"/>
                <w:szCs w:val="20"/>
              </w:rPr>
            </w:pPr>
            <w:r>
              <w:rPr>
                <w:rFonts w:ascii="Verdana Pro" w:hAnsi="Verdana Pro" w:cs="Verdana Pro"/>
                <w:b/>
                <w:bCs/>
                <w:color w:val="FFFFFF"/>
                <w:sz w:val="20"/>
                <w:szCs w:val="20"/>
              </w:rPr>
              <w:t>Private security veteran’s operation</w:t>
            </w:r>
          </w:p>
        </w:tc>
        <w:tc>
          <w:tcPr>
            <w:tcW w:w="446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00DB12E3" w14:textId="77777777" w:rsidR="005F16BD" w:rsidRDefault="005F16BD" w:rsidP="00534BB0">
            <w:pPr>
              <w:pStyle w:val="Standard"/>
              <w:rPr>
                <w:rFonts w:ascii="Verdana Pro" w:hAnsi="Verdana Pro" w:cs="Verdana Pro"/>
              </w:rPr>
            </w:pPr>
            <w:r>
              <w:rPr>
                <w:rFonts w:ascii="Verdana Pro" w:hAnsi="Verdana Pro" w:cs="Verdana Pro"/>
              </w:rPr>
              <w:t>$1-$3 million</w:t>
            </w:r>
          </w:p>
        </w:tc>
      </w:tr>
      <w:tr w:rsidR="00E63FBE" w14:paraId="3DFA575F" w14:textId="77777777" w:rsidTr="009C4789">
        <w:trPr>
          <w:trHeight w:val="380"/>
          <w:jc w:val="center"/>
        </w:trPr>
        <w:tc>
          <w:tcPr>
            <w:tcW w:w="4463"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tcPr>
          <w:p w14:paraId="7F6FA0F7" w14:textId="4924CD94" w:rsidR="00E63FBE" w:rsidRDefault="00E63FBE" w:rsidP="00534BB0">
            <w:pPr>
              <w:pStyle w:val="Standard"/>
              <w:rPr>
                <w:rFonts w:ascii="Verdana Pro" w:hAnsi="Verdana Pro" w:cs="Verdana Pro"/>
                <w:b/>
                <w:bCs/>
                <w:color w:val="FFFFFF"/>
                <w:sz w:val="20"/>
                <w:szCs w:val="20"/>
              </w:rPr>
            </w:pPr>
            <w:r>
              <w:rPr>
                <w:rFonts w:ascii="Verdana Pro" w:hAnsi="Verdana Pro" w:cs="Verdana Pro"/>
                <w:b/>
                <w:bCs/>
                <w:color w:val="FFFFFF"/>
                <w:sz w:val="20"/>
                <w:szCs w:val="20"/>
              </w:rPr>
              <w:t>Projected operational costs</w:t>
            </w:r>
          </w:p>
        </w:tc>
        <w:tc>
          <w:tcPr>
            <w:tcW w:w="446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787F129F" w14:textId="53595CB9" w:rsidR="00E63FBE" w:rsidRDefault="00E63FBE" w:rsidP="00534BB0">
            <w:pPr>
              <w:pStyle w:val="Standard"/>
              <w:rPr>
                <w:rFonts w:ascii="Verdana Pro" w:hAnsi="Verdana Pro" w:cs="Verdana Pro"/>
              </w:rPr>
            </w:pPr>
            <w:r>
              <w:rPr>
                <w:rFonts w:ascii="Verdana Pro" w:hAnsi="Verdana Pro" w:cs="Verdana Pro"/>
              </w:rPr>
              <w:t>$1,200,000.00</w:t>
            </w:r>
          </w:p>
        </w:tc>
      </w:tr>
      <w:tr w:rsidR="009C4789" w14:paraId="5E69F595" w14:textId="77777777" w:rsidTr="009C4789">
        <w:trPr>
          <w:trHeight w:val="380"/>
          <w:jc w:val="center"/>
        </w:trPr>
        <w:tc>
          <w:tcPr>
            <w:tcW w:w="4463" w:type="dxa"/>
            <w:tcBorders>
              <w:top w:val="single" w:sz="4" w:space="0" w:color="FFFFFF"/>
              <w:left w:val="single" w:sz="4" w:space="0" w:color="FFFFFF"/>
              <w:bottom w:val="single" w:sz="4" w:space="0" w:color="FFFFFF"/>
              <w:right w:val="single" w:sz="4" w:space="0" w:color="FFFFFF"/>
            </w:tcBorders>
            <w:shd w:val="clear" w:color="auto" w:fill="4472C4"/>
            <w:tcMar>
              <w:top w:w="0" w:type="dxa"/>
              <w:left w:w="108" w:type="dxa"/>
              <w:bottom w:w="0" w:type="dxa"/>
              <w:right w:w="108" w:type="dxa"/>
            </w:tcMar>
          </w:tcPr>
          <w:p w14:paraId="3CBECD17" w14:textId="0D8E470B" w:rsidR="009C4789" w:rsidRDefault="009C4789" w:rsidP="009C4789">
            <w:pPr>
              <w:pStyle w:val="Standard"/>
              <w:tabs>
                <w:tab w:val="left" w:pos="180"/>
                <w:tab w:val="left" w:pos="2985"/>
              </w:tabs>
              <w:rPr>
                <w:rFonts w:ascii="Verdana Pro" w:hAnsi="Verdana Pro" w:cs="Verdana Pro"/>
                <w:b/>
                <w:bCs/>
                <w:color w:val="FFFFFF"/>
                <w:sz w:val="20"/>
                <w:szCs w:val="20"/>
              </w:rPr>
            </w:pPr>
            <w:r>
              <w:rPr>
                <w:rFonts w:ascii="Verdana Pro" w:hAnsi="Verdana Pro" w:cs="Verdana Pro"/>
                <w:b/>
                <w:bCs/>
                <w:color w:val="FFFFFF"/>
                <w:sz w:val="20"/>
                <w:szCs w:val="20"/>
              </w:rPr>
              <w:t>Total cost for security consultation</w:t>
            </w:r>
          </w:p>
        </w:tc>
        <w:tc>
          <w:tcPr>
            <w:tcW w:w="446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7ECECBB6" w14:textId="0A300925" w:rsidR="009C4789" w:rsidRPr="009C4789" w:rsidRDefault="009C4789" w:rsidP="00534BB0">
            <w:pPr>
              <w:pStyle w:val="Standard"/>
              <w:rPr>
                <w:rFonts w:ascii="Verdana Pro" w:hAnsi="Verdana Pro" w:cs="Verdana Pro"/>
                <w:b/>
                <w:bCs/>
              </w:rPr>
            </w:pPr>
            <w:r w:rsidRPr="009C4789">
              <w:rPr>
                <w:rFonts w:ascii="Verdana Pro" w:hAnsi="Verdana Pro" w:cs="Verdana Pro"/>
                <w:b/>
                <w:bCs/>
              </w:rPr>
              <w:t>$</w:t>
            </w:r>
            <w:r w:rsidR="00E63FBE">
              <w:rPr>
                <w:rFonts w:ascii="Verdana Pro" w:hAnsi="Verdana Pro" w:cs="Verdana Pro"/>
                <w:b/>
                <w:bCs/>
              </w:rPr>
              <w:t>4</w:t>
            </w:r>
            <w:r w:rsidRPr="009C4789">
              <w:rPr>
                <w:rFonts w:ascii="Verdana Pro" w:hAnsi="Verdana Pro" w:cs="Verdana Pro" w:hint="eastAsia"/>
                <w:b/>
                <w:bCs/>
              </w:rPr>
              <w:t>,</w:t>
            </w:r>
            <w:r w:rsidR="00E63FBE">
              <w:rPr>
                <w:rFonts w:ascii="Verdana Pro" w:hAnsi="Verdana Pro" w:cs="Verdana Pro"/>
                <w:b/>
                <w:bCs/>
              </w:rPr>
              <w:t>4</w:t>
            </w:r>
            <w:r w:rsidRPr="009C4789">
              <w:rPr>
                <w:rFonts w:ascii="Verdana Pro" w:hAnsi="Verdana Pro" w:cs="Verdana Pro" w:hint="eastAsia"/>
                <w:b/>
                <w:bCs/>
              </w:rPr>
              <w:t>77,310.00</w:t>
            </w:r>
          </w:p>
        </w:tc>
      </w:tr>
    </w:tbl>
    <w:p w14:paraId="41A4AE2D" w14:textId="395BE4A5" w:rsidR="00502FE6" w:rsidRDefault="00502FE6" w:rsidP="00502FE6">
      <w:pPr>
        <w:pStyle w:val="NormalWeb"/>
        <w:rPr>
          <w:rFonts w:ascii="Verdana Pro" w:hAnsi="Verdana Pro" w:cs="Verdana Pro"/>
          <w:sz w:val="20"/>
          <w:szCs w:val="20"/>
        </w:rPr>
      </w:pPr>
      <w:r>
        <w:rPr>
          <w:rFonts w:ascii="Verdana Pro" w:hAnsi="Verdana Pro" w:cs="Verdana Pro"/>
          <w:sz w:val="20"/>
          <w:szCs w:val="20"/>
        </w:rPr>
        <w:lastRenderedPageBreak/>
        <w:t>This document has been presented by Mr. Jason Miller and team.</w:t>
      </w:r>
    </w:p>
    <w:p w14:paraId="155F4DC9" w14:textId="0437C235" w:rsidR="00502FE6" w:rsidRDefault="00502FE6" w:rsidP="00502FE6">
      <w:pPr>
        <w:pStyle w:val="NormalWeb"/>
        <w:rPr>
          <w:rFonts w:ascii="Verdana Pro" w:hAnsi="Verdana Pro" w:cs="Verdana Pro"/>
          <w:sz w:val="20"/>
          <w:szCs w:val="20"/>
        </w:rPr>
      </w:pPr>
    </w:p>
    <w:p w14:paraId="3B85CC26" w14:textId="77777777" w:rsidR="00502FE6" w:rsidRDefault="00502FE6" w:rsidP="00502FE6">
      <w:pPr>
        <w:pStyle w:val="NormalWeb"/>
      </w:pPr>
      <w:r>
        <w:rPr>
          <w:rFonts w:ascii="Verdana Pro" w:hAnsi="Verdana Pro" w:cs="Verdana Pro"/>
          <w:sz w:val="20"/>
          <w:szCs w:val="20"/>
        </w:rPr>
        <w:t>In the event you require additional information, please contact:</w:t>
      </w:r>
    </w:p>
    <w:p w14:paraId="6A2228D8" w14:textId="77777777" w:rsidR="00502FE6" w:rsidRDefault="00502FE6" w:rsidP="00502FE6">
      <w:pPr>
        <w:pStyle w:val="NormalWeb"/>
        <w:rPr>
          <w:rFonts w:ascii="Verdana Pro" w:hAnsi="Verdana Pro" w:cs="Verdana Pro"/>
          <w:sz w:val="20"/>
          <w:szCs w:val="20"/>
        </w:rPr>
      </w:pPr>
    </w:p>
    <w:p w14:paraId="65BABD1A" w14:textId="77777777" w:rsidR="00502FE6" w:rsidRDefault="00502FE6" w:rsidP="00502FE6">
      <w:pPr>
        <w:pStyle w:val="NormalWeb"/>
        <w:rPr>
          <w:rFonts w:ascii="Verdana Pro" w:hAnsi="Verdana Pro" w:cs="Verdana Pro"/>
          <w:sz w:val="20"/>
          <w:szCs w:val="20"/>
        </w:rPr>
      </w:pPr>
    </w:p>
    <w:p w14:paraId="47F57698" w14:textId="77777777" w:rsidR="00502FE6" w:rsidRDefault="00502FE6" w:rsidP="00502FE6">
      <w:pPr>
        <w:pStyle w:val="NormalWeb"/>
        <w:rPr>
          <w:rFonts w:ascii="Verdana Pro" w:hAnsi="Verdana Pro" w:cs="Verdana Pro"/>
          <w:sz w:val="20"/>
          <w:szCs w:val="20"/>
        </w:rPr>
      </w:pPr>
      <w:r>
        <w:rPr>
          <w:rFonts w:ascii="Verdana Pro" w:hAnsi="Verdana Pro" w:cs="Verdana Pro"/>
          <w:sz w:val="20"/>
          <w:szCs w:val="20"/>
        </w:rPr>
        <w:t xml:space="preserve">Mr. Jason Miller </w:t>
      </w:r>
    </w:p>
    <w:p w14:paraId="2ED3917E" w14:textId="77777777" w:rsidR="00502FE6" w:rsidRDefault="00502FE6" w:rsidP="00502FE6">
      <w:pPr>
        <w:pStyle w:val="NormalWeb"/>
        <w:rPr>
          <w:rFonts w:ascii="Verdana Pro" w:hAnsi="Verdana Pro" w:cs="Verdana Pro"/>
          <w:sz w:val="20"/>
          <w:szCs w:val="20"/>
        </w:rPr>
      </w:pPr>
      <w:r>
        <w:rPr>
          <w:rFonts w:ascii="Verdana Pro" w:hAnsi="Verdana Pro" w:cs="Verdana Pro"/>
          <w:sz w:val="20"/>
          <w:szCs w:val="20"/>
        </w:rPr>
        <w:t>Director of Research &amp; Development</w:t>
      </w:r>
    </w:p>
    <w:p w14:paraId="05815450" w14:textId="77777777" w:rsidR="00502FE6" w:rsidRDefault="00502FE6" w:rsidP="00502FE6">
      <w:pPr>
        <w:pStyle w:val="NormalWeb"/>
      </w:pPr>
      <w:r>
        <w:rPr>
          <w:rFonts w:ascii="Verdana Pro" w:hAnsi="Verdana Pro" w:cs="Verdana Pro"/>
          <w:sz w:val="20"/>
          <w:szCs w:val="20"/>
        </w:rPr>
        <w:t xml:space="preserve">US &amp; Latin Veterans Support Embassy                           </w:t>
      </w:r>
    </w:p>
    <w:p w14:paraId="4D8C23C1" w14:textId="77777777" w:rsidR="00502FE6" w:rsidRDefault="00502FE6" w:rsidP="00502FE6">
      <w:pPr>
        <w:pStyle w:val="Standard"/>
        <w:rPr>
          <w:rFonts w:ascii="Verdana Pro" w:eastAsia="Calibri" w:hAnsi="Verdana Pro" w:cs="Times New Roman"/>
          <w:sz w:val="20"/>
          <w:szCs w:val="20"/>
          <w:lang w:val="en-US" w:eastAsia="en-US"/>
        </w:rPr>
      </w:pPr>
      <w:r>
        <w:rPr>
          <w:rFonts w:ascii="Verdana Pro" w:eastAsia="Calibri" w:hAnsi="Verdana Pro" w:cs="Times New Roman"/>
          <w:sz w:val="20"/>
          <w:szCs w:val="20"/>
          <w:lang w:val="en-US" w:eastAsia="en-US"/>
        </w:rPr>
        <w:t>&amp; The Veterans World Chamber</w:t>
      </w:r>
    </w:p>
    <w:p w14:paraId="144480C7" w14:textId="065886C7" w:rsidR="00502FE6" w:rsidRDefault="00502FE6" w:rsidP="00502FE6">
      <w:pPr>
        <w:pStyle w:val="Standard"/>
        <w:rPr>
          <w:rFonts w:ascii="Verdana Pro" w:eastAsia="Calibri" w:hAnsi="Verdana Pro" w:cs="Times New Roman"/>
          <w:sz w:val="20"/>
          <w:szCs w:val="20"/>
          <w:lang w:val="en-US" w:eastAsia="en-US"/>
        </w:rPr>
      </w:pPr>
      <w:r>
        <w:rPr>
          <w:rFonts w:ascii="Verdana Pro" w:eastAsia="Calibri" w:hAnsi="Verdana Pro" w:cs="Times New Roman"/>
          <w:sz w:val="20"/>
          <w:szCs w:val="20"/>
          <w:lang w:val="en-US" w:eastAsia="en-US"/>
        </w:rPr>
        <w:t>Tel: 954-928-7358</w:t>
      </w:r>
    </w:p>
    <w:p w14:paraId="0D373904" w14:textId="71F0B391" w:rsidR="00502FE6" w:rsidRDefault="00502FE6" w:rsidP="00502FE6">
      <w:pPr>
        <w:pStyle w:val="Standard"/>
        <w:rPr>
          <w:rFonts w:ascii="Verdana Pro" w:eastAsia="Calibri" w:hAnsi="Verdana Pro" w:cs="Times New Roman"/>
          <w:sz w:val="20"/>
          <w:szCs w:val="20"/>
          <w:lang w:val="en-US" w:eastAsia="en-US"/>
        </w:rPr>
      </w:pPr>
    </w:p>
    <w:p w14:paraId="741C1D8E" w14:textId="75A6BEA7" w:rsidR="006F5DE6" w:rsidRDefault="006F5DE6" w:rsidP="00502FE6">
      <w:pPr>
        <w:pStyle w:val="Standard"/>
        <w:rPr>
          <w:rFonts w:ascii="Verdana Pro" w:eastAsia="Calibri" w:hAnsi="Verdana Pro" w:cs="Times New Roman"/>
          <w:sz w:val="20"/>
          <w:szCs w:val="20"/>
          <w:lang w:val="en-US" w:eastAsia="en-US"/>
        </w:rPr>
      </w:pPr>
    </w:p>
    <w:p w14:paraId="04678F51" w14:textId="007AA877" w:rsidR="006F5DE6" w:rsidRPr="00DE0A49" w:rsidRDefault="006F5DE6" w:rsidP="006F5DE6">
      <w:pPr>
        <w:rPr>
          <w:rFonts w:ascii="Verdana Pro" w:eastAsia="Calibri" w:hAnsi="Verdana Pro" w:cs="Times New Roman"/>
          <w:sz w:val="20"/>
          <w:szCs w:val="20"/>
          <w:lang w:eastAsia="en-US"/>
        </w:rPr>
      </w:pPr>
      <w:r>
        <w:rPr>
          <w:noProof/>
        </w:rPr>
        <w:drawing>
          <wp:anchor distT="0" distB="0" distL="114300" distR="114300" simplePos="0" relativeHeight="251668480" behindDoc="1" locked="0" layoutInCell="1" allowOverlap="1" wp14:anchorId="151CCDED" wp14:editId="7E38EBC7">
            <wp:simplePos x="0" y="0"/>
            <wp:positionH relativeFrom="column">
              <wp:posOffset>85725</wp:posOffset>
            </wp:positionH>
            <wp:positionV relativeFrom="paragraph">
              <wp:posOffset>504190</wp:posOffset>
            </wp:positionV>
            <wp:extent cx="1790700" cy="1628775"/>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071CC41E" wp14:editId="59B1350A">
                <wp:simplePos x="0" y="0"/>
                <wp:positionH relativeFrom="column">
                  <wp:posOffset>-352425</wp:posOffset>
                </wp:positionH>
                <wp:positionV relativeFrom="paragraph">
                  <wp:posOffset>2607945</wp:posOffset>
                </wp:positionV>
                <wp:extent cx="1663065" cy="1447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06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72FA6" w14:textId="77777777" w:rsidR="006F5DE6" w:rsidRDefault="006F5DE6" w:rsidP="006F5DE6">
                            <w:pPr>
                              <w:rPr>
                                <w:rFonts w:hint="eastAsia"/>
                                <w:b/>
                                <w:bCs/>
                              </w:rPr>
                            </w:pPr>
                            <w:r w:rsidRPr="00DE0A49">
                              <w:rPr>
                                <w:b/>
                                <w:bCs/>
                              </w:rPr>
                              <w:t>London</w:t>
                            </w:r>
                          </w:p>
                          <w:p w14:paraId="76ABB577" w14:textId="77777777" w:rsidR="006F5DE6" w:rsidRDefault="006F5DE6" w:rsidP="006F5DE6">
                            <w:pPr>
                              <w:pStyle w:val="Standard"/>
                              <w:spacing w:after="0"/>
                            </w:pPr>
                            <w:r w:rsidRPr="00DE0A49">
                              <w:t>US &amp; Latin Veterans Support Embassy</w:t>
                            </w:r>
                            <w:r w:rsidRPr="00DE0A49">
                              <w:br/>
                              <w:t>86-90 Paul Street</w:t>
                            </w:r>
                            <w:r w:rsidRPr="00DE0A49">
                              <w:br/>
                              <w:t>London</w:t>
                            </w:r>
                            <w:r w:rsidRPr="00DE0A49">
                              <w:br/>
                              <w:t>EC2A 4NE</w:t>
                            </w:r>
                          </w:p>
                          <w:p w14:paraId="345D7EFB" w14:textId="77777777" w:rsidR="006F5DE6" w:rsidRPr="00DE0A49" w:rsidRDefault="006F5DE6" w:rsidP="006F5DE6">
                            <w:pPr>
                              <w:pStyle w:val="Standard"/>
                              <w:spacing w:after="0"/>
                            </w:pPr>
                            <w:r>
                              <w:t xml:space="preserve">E: </w:t>
                            </w:r>
                            <w:r w:rsidRPr="00DE0A49">
                              <w:t>amiller@uslvse.com&gt;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71CC41E" id="_x0000_t202" coordsize="21600,21600" o:spt="202" path="m,l,21600r21600,l21600,xe">
                <v:stroke joinstyle="miter"/>
                <v:path gradientshapeok="t" o:connecttype="rect"/>
              </v:shapetype>
              <v:shape id="Text Box 2" o:spid="_x0000_s1026" type="#_x0000_t202" style="position:absolute;margin-left:-27.75pt;margin-top:205.35pt;width:130.95pt;height:114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" stroked="f">
                <v:path arrowok="t"/>
                <v:textbox style="mso-fit-shape-to-text:t">
                  <w:txbxContent>
                    <w:p w14:paraId="08B72FA6" w14:textId="77777777" w:rsidR="006F5DE6" w:rsidRDefault="006F5DE6" w:rsidP="006F5DE6">
                      <w:pPr>
                        <w:rPr>
                          <w:rFonts w:hint="eastAsia"/>
                          <w:b/>
                          <w:bCs/>
                        </w:rPr>
                      </w:pPr>
                      <w:r w:rsidRPr="00DE0A49">
                        <w:rPr>
                          <w:b/>
                          <w:bCs/>
                        </w:rPr>
                        <w:t>London</w:t>
                      </w:r>
                    </w:p>
                    <w:p w14:paraId="76ABB577" w14:textId="77777777" w:rsidR="006F5DE6" w:rsidRDefault="006F5DE6" w:rsidP="006F5DE6">
                      <w:pPr>
                        <w:pStyle w:val="Standard"/>
                        <w:spacing w:after="0"/>
                      </w:pPr>
                      <w:r w:rsidRPr="00DE0A49">
                        <w:t>US &amp; Latin Veterans Support Embassy</w:t>
                      </w:r>
                      <w:r w:rsidRPr="00DE0A49">
                        <w:br/>
                        <w:t>86-90 Paul Street</w:t>
                      </w:r>
                      <w:r w:rsidRPr="00DE0A49">
                        <w:br/>
                        <w:t>London</w:t>
                      </w:r>
                      <w:r w:rsidRPr="00DE0A49">
                        <w:br/>
                        <w:t>EC2A 4NE</w:t>
                      </w:r>
                    </w:p>
                    <w:p w14:paraId="345D7EFB" w14:textId="77777777" w:rsidR="006F5DE6" w:rsidRPr="00DE0A49" w:rsidRDefault="006F5DE6" w:rsidP="006F5DE6">
                      <w:pPr>
                        <w:pStyle w:val="Standard"/>
                        <w:spacing w:after="0"/>
                      </w:pPr>
                      <w:r>
                        <w:t xml:space="preserve">E: </w:t>
                      </w:r>
                      <w:r w:rsidRPr="00DE0A49">
                        <w:t>amiller@uslvse.com&gt;</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B94A81D" wp14:editId="61020506">
                <wp:simplePos x="0" y="0"/>
                <wp:positionH relativeFrom="column">
                  <wp:posOffset>1640205</wp:posOffset>
                </wp:positionH>
                <wp:positionV relativeFrom="paragraph">
                  <wp:posOffset>2647315</wp:posOffset>
                </wp:positionV>
                <wp:extent cx="1772285" cy="156273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2285" cy="156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EE4FE" w14:textId="77777777" w:rsidR="006F5DE6" w:rsidRPr="00141F7E" w:rsidRDefault="006F5DE6" w:rsidP="006F5DE6">
                            <w:pPr>
                              <w:rPr>
                                <w:rFonts w:eastAsia="Calibri" w:cs="Calibri"/>
                                <w:b/>
                                <w:bCs/>
                                <w:lang w:eastAsia="en-US"/>
                              </w:rPr>
                            </w:pPr>
                            <w:r w:rsidRPr="00141F7E">
                              <w:rPr>
                                <w:rFonts w:eastAsia="Calibri" w:cs="Calibri"/>
                                <w:b/>
                                <w:bCs/>
                                <w:lang w:eastAsia="en-US"/>
                              </w:rPr>
                              <w:t xml:space="preserve">Headquarters: Miami </w:t>
                            </w:r>
                          </w:p>
                          <w:p w14:paraId="7F43A815" w14:textId="77777777" w:rsidR="006F5DE6" w:rsidRPr="00141F7E" w:rsidRDefault="006F5DE6" w:rsidP="006F5DE6">
                            <w:pPr>
                              <w:pStyle w:val="Standard"/>
                              <w:spacing w:after="0"/>
                            </w:pPr>
                            <w:r w:rsidRPr="00141F7E">
                              <w:t>US &amp; Latin Veterans Support Embassy</w:t>
                            </w:r>
                          </w:p>
                          <w:p w14:paraId="61942D3B" w14:textId="77777777" w:rsidR="006F5DE6" w:rsidRPr="00141F7E" w:rsidRDefault="006F5DE6" w:rsidP="006F5DE6">
                            <w:pPr>
                              <w:pStyle w:val="Standard"/>
                              <w:spacing w:after="0"/>
                            </w:pPr>
                            <w:r w:rsidRPr="00141F7E">
                              <w:t>1035 SW 12 Ct.,</w:t>
                            </w:r>
                          </w:p>
                          <w:p w14:paraId="0C98172A" w14:textId="77777777" w:rsidR="006F5DE6" w:rsidRPr="00141F7E" w:rsidRDefault="006F5DE6" w:rsidP="006F5DE6">
                            <w:pPr>
                              <w:pStyle w:val="Standard"/>
                              <w:spacing w:after="0"/>
                            </w:pPr>
                            <w:r w:rsidRPr="00141F7E">
                              <w:t>Miami, Florida, 33135</w:t>
                            </w:r>
                          </w:p>
                          <w:p w14:paraId="41BD5ADC" w14:textId="77777777" w:rsidR="006F5DE6" w:rsidRPr="00141F7E" w:rsidRDefault="006F5DE6" w:rsidP="006F5DE6">
                            <w:pPr>
                              <w:pStyle w:val="Standard"/>
                            </w:pPr>
                            <w:r w:rsidRPr="00141F7E">
                              <w:t>Tel: 954-588-3670</w:t>
                            </w:r>
                          </w:p>
                          <w:p w14:paraId="18537108" w14:textId="77777777" w:rsidR="006F5DE6" w:rsidRDefault="006F5DE6" w:rsidP="006F5DE6">
                            <w:pPr>
                              <w:rPr>
                                <w:rFonts w:hint="eastAs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4A81D" id="_x0000_s1027" type="#_x0000_t202" style="position:absolute;margin-left:129.15pt;margin-top:208.45pt;width:139.55pt;height:123.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" stroked="f">
                <v:path arrowok="t"/>
                <v:textbox>
                  <w:txbxContent>
                    <w:p w14:paraId="1F1EE4FE" w14:textId="77777777" w:rsidR="006F5DE6" w:rsidRPr="00141F7E" w:rsidRDefault="006F5DE6" w:rsidP="006F5DE6">
                      <w:pPr>
                        <w:rPr>
                          <w:rFonts w:eastAsia="Calibri" w:cs="Calibri"/>
                          <w:b/>
                          <w:bCs/>
                          <w:lang w:eastAsia="en-US"/>
                        </w:rPr>
                      </w:pPr>
                      <w:r w:rsidRPr="00141F7E">
                        <w:rPr>
                          <w:rFonts w:eastAsia="Calibri" w:cs="Calibri"/>
                          <w:b/>
                          <w:bCs/>
                          <w:lang w:eastAsia="en-US"/>
                        </w:rPr>
                        <w:t xml:space="preserve">Headquarters: Miami </w:t>
                      </w:r>
                    </w:p>
                    <w:p w14:paraId="7F43A815" w14:textId="77777777" w:rsidR="006F5DE6" w:rsidRPr="00141F7E" w:rsidRDefault="006F5DE6" w:rsidP="006F5DE6">
                      <w:pPr>
                        <w:pStyle w:val="Standard"/>
                        <w:spacing w:after="0"/>
                      </w:pPr>
                      <w:r w:rsidRPr="00141F7E">
                        <w:t>US &amp; Latin Veterans Support Embassy</w:t>
                      </w:r>
                    </w:p>
                    <w:p w14:paraId="61942D3B" w14:textId="77777777" w:rsidR="006F5DE6" w:rsidRPr="00141F7E" w:rsidRDefault="006F5DE6" w:rsidP="006F5DE6">
                      <w:pPr>
                        <w:pStyle w:val="Standard"/>
                        <w:spacing w:after="0"/>
                      </w:pPr>
                      <w:r w:rsidRPr="00141F7E">
                        <w:t>1035 SW 12 Ct.,</w:t>
                      </w:r>
                    </w:p>
                    <w:p w14:paraId="0C98172A" w14:textId="77777777" w:rsidR="006F5DE6" w:rsidRPr="00141F7E" w:rsidRDefault="006F5DE6" w:rsidP="006F5DE6">
                      <w:pPr>
                        <w:pStyle w:val="Standard"/>
                        <w:spacing w:after="0"/>
                      </w:pPr>
                      <w:r w:rsidRPr="00141F7E">
                        <w:t>Miami, Florida, 33135</w:t>
                      </w:r>
                    </w:p>
                    <w:p w14:paraId="41BD5ADC" w14:textId="77777777" w:rsidR="006F5DE6" w:rsidRPr="00141F7E" w:rsidRDefault="006F5DE6" w:rsidP="006F5DE6">
                      <w:pPr>
                        <w:pStyle w:val="Standard"/>
                      </w:pPr>
                      <w:r w:rsidRPr="00141F7E">
                        <w:t>Tel: 954-588-3670</w:t>
                      </w:r>
                    </w:p>
                    <w:p w14:paraId="18537108" w14:textId="77777777" w:rsidR="006F5DE6" w:rsidRDefault="006F5DE6" w:rsidP="006F5DE6">
                      <w:pPr>
                        <w:rPr>
                          <w:rFonts w:hint="eastAsia"/>
                        </w:rPr>
                      </w:pPr>
                    </w:p>
                  </w:txbxContent>
                </v:textbox>
                <w10:wrap type="square"/>
              </v:shape>
            </w:pict>
          </mc:Fallback>
        </mc:AlternateContent>
      </w:r>
    </w:p>
    <w:p w14:paraId="18ED066E" w14:textId="77777777" w:rsidR="006F5DE6" w:rsidRDefault="006F5DE6" w:rsidP="00502FE6">
      <w:pPr>
        <w:pStyle w:val="Standard"/>
        <w:rPr>
          <w:rFonts w:ascii="Verdana Pro" w:eastAsia="Calibri" w:hAnsi="Verdana Pro" w:cs="Times New Roman"/>
          <w:sz w:val="20"/>
          <w:szCs w:val="20"/>
          <w:lang w:val="en-US" w:eastAsia="en-US"/>
        </w:rPr>
      </w:pPr>
    </w:p>
    <w:p w14:paraId="230D07B8" w14:textId="496DACE0" w:rsidR="00502FE6" w:rsidRDefault="00502FE6" w:rsidP="00502FE6">
      <w:pPr>
        <w:pStyle w:val="NormalWeb"/>
        <w:rPr>
          <w:rFonts w:ascii="Verdana Pro" w:hAnsi="Verdana Pro" w:cs="Verdana Pro"/>
          <w:sz w:val="20"/>
          <w:szCs w:val="20"/>
        </w:rPr>
      </w:pPr>
    </w:p>
    <w:p w14:paraId="45EDE4E0" w14:textId="1B069B49" w:rsidR="00502FE6" w:rsidRDefault="00116668" w:rsidP="00502FE6">
      <w:pPr>
        <w:pStyle w:val="NormalWeb"/>
        <w:rPr>
          <w:rFonts w:ascii="Verdana Pro" w:hAnsi="Verdana Pro" w:cs="Verdana Pro"/>
          <w:sz w:val="20"/>
          <w:szCs w:val="20"/>
        </w:rPr>
      </w:pPr>
      <w:r>
        <w:rPr>
          <w:noProof/>
        </w:rPr>
        <mc:AlternateContent>
          <mc:Choice Requires="wps">
            <w:drawing>
              <wp:anchor distT="45720" distB="45720" distL="114300" distR="114300" simplePos="0" relativeHeight="251667456" behindDoc="0" locked="0" layoutInCell="1" allowOverlap="1" wp14:anchorId="6DA44AA0" wp14:editId="0AC81615">
                <wp:simplePos x="0" y="0"/>
                <wp:positionH relativeFrom="column">
                  <wp:posOffset>3733800</wp:posOffset>
                </wp:positionH>
                <wp:positionV relativeFrom="paragraph">
                  <wp:posOffset>2032635</wp:posOffset>
                </wp:positionV>
                <wp:extent cx="2292350" cy="158051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0" cy="158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C63E1" w14:textId="77777777" w:rsidR="006F5DE6" w:rsidRPr="006F5DE6" w:rsidRDefault="006F5DE6" w:rsidP="006F5DE6">
                            <w:pPr>
                              <w:rPr>
                                <w:rFonts w:asciiTheme="minorHAnsi" w:hAnsiTheme="minorHAnsi" w:cstheme="minorHAnsi"/>
                                <w:b/>
                                <w:bCs/>
                                <w:sz w:val="22"/>
                                <w:szCs w:val="22"/>
                              </w:rPr>
                            </w:pPr>
                            <w:r w:rsidRPr="006F5DE6">
                              <w:rPr>
                                <w:rFonts w:asciiTheme="minorHAnsi" w:hAnsiTheme="minorHAnsi" w:cstheme="minorHAnsi"/>
                                <w:b/>
                                <w:bCs/>
                                <w:sz w:val="22"/>
                                <w:szCs w:val="22"/>
                              </w:rPr>
                              <w:t xml:space="preserve">New York </w:t>
                            </w:r>
                          </w:p>
                          <w:p w14:paraId="5430983D" w14:textId="77777777" w:rsidR="006F5DE6" w:rsidRPr="006F5DE6" w:rsidRDefault="006F5DE6" w:rsidP="006F5DE6">
                            <w:pPr>
                              <w:rPr>
                                <w:rFonts w:asciiTheme="minorHAnsi" w:hAnsiTheme="minorHAnsi" w:cstheme="minorHAnsi"/>
                                <w:sz w:val="22"/>
                                <w:szCs w:val="22"/>
                              </w:rPr>
                            </w:pPr>
                            <w:r w:rsidRPr="006F5DE6">
                              <w:rPr>
                                <w:rFonts w:asciiTheme="minorHAnsi" w:hAnsiTheme="minorHAnsi" w:cstheme="minorHAnsi"/>
                                <w:sz w:val="22"/>
                                <w:szCs w:val="22"/>
                              </w:rPr>
                              <w:t>Intergovernmental collaborative Action Fund for Excellence</w:t>
                            </w:r>
                          </w:p>
                          <w:p w14:paraId="674D2C68" w14:textId="77777777" w:rsidR="006F5DE6" w:rsidRPr="006F5DE6" w:rsidRDefault="006F5DE6" w:rsidP="006F5DE6">
                            <w:pPr>
                              <w:rPr>
                                <w:rFonts w:asciiTheme="minorHAnsi" w:hAnsiTheme="minorHAnsi" w:cstheme="minorHAnsi"/>
                                <w:sz w:val="22"/>
                                <w:szCs w:val="22"/>
                              </w:rPr>
                            </w:pPr>
                            <w:r w:rsidRPr="006F5DE6">
                              <w:rPr>
                                <w:rFonts w:asciiTheme="minorHAnsi" w:hAnsiTheme="minorHAnsi" w:cstheme="minorHAnsi"/>
                                <w:sz w:val="22"/>
                                <w:szCs w:val="22"/>
                              </w:rPr>
                              <w:t>Inc. ICAFE</w:t>
                            </w:r>
                          </w:p>
                          <w:p w14:paraId="16AD803A" w14:textId="77777777" w:rsidR="006F5DE6" w:rsidRPr="006F5DE6" w:rsidRDefault="006F5DE6" w:rsidP="006F5DE6">
                            <w:pPr>
                              <w:rPr>
                                <w:rFonts w:asciiTheme="minorHAnsi" w:hAnsiTheme="minorHAnsi" w:cstheme="minorHAnsi"/>
                                <w:sz w:val="22"/>
                                <w:szCs w:val="22"/>
                              </w:rPr>
                            </w:pPr>
                            <w:r w:rsidRPr="006F5DE6">
                              <w:rPr>
                                <w:rFonts w:asciiTheme="minorHAnsi" w:hAnsiTheme="minorHAnsi" w:cstheme="minorHAnsi"/>
                                <w:sz w:val="22"/>
                                <w:szCs w:val="22"/>
                              </w:rPr>
                              <w:t>17333 Croydon. Road. Jamaica Estates, New York 11432 USA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DA44AA0" id="_x0000_s1028" type="#_x0000_t202" style="position:absolute;margin-left:294pt;margin-top:160.05pt;width:180.5pt;height:124.45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" stroked="f">
                <v:path arrowok="t"/>
                <v:textbox style="mso-fit-shape-to-text:t">
                  <w:txbxContent>
                    <w:p w14:paraId="581C63E1" w14:textId="77777777" w:rsidR="006F5DE6" w:rsidRPr="006F5DE6" w:rsidRDefault="006F5DE6" w:rsidP="006F5DE6">
                      <w:pPr>
                        <w:rPr>
                          <w:rFonts w:asciiTheme="minorHAnsi" w:hAnsiTheme="minorHAnsi" w:cstheme="minorHAnsi"/>
                          <w:b/>
                          <w:bCs/>
                          <w:sz w:val="22"/>
                          <w:szCs w:val="22"/>
                        </w:rPr>
                      </w:pPr>
                      <w:r w:rsidRPr="006F5DE6">
                        <w:rPr>
                          <w:rFonts w:asciiTheme="minorHAnsi" w:hAnsiTheme="minorHAnsi" w:cstheme="minorHAnsi"/>
                          <w:b/>
                          <w:bCs/>
                          <w:sz w:val="22"/>
                          <w:szCs w:val="22"/>
                        </w:rPr>
                        <w:t xml:space="preserve">New York </w:t>
                      </w:r>
                    </w:p>
                    <w:p w14:paraId="5430983D" w14:textId="77777777" w:rsidR="006F5DE6" w:rsidRPr="006F5DE6" w:rsidRDefault="006F5DE6" w:rsidP="006F5DE6">
                      <w:pPr>
                        <w:rPr>
                          <w:rFonts w:asciiTheme="minorHAnsi" w:hAnsiTheme="minorHAnsi" w:cstheme="minorHAnsi"/>
                          <w:sz w:val="22"/>
                          <w:szCs w:val="22"/>
                        </w:rPr>
                      </w:pPr>
                      <w:r w:rsidRPr="006F5DE6">
                        <w:rPr>
                          <w:rFonts w:asciiTheme="minorHAnsi" w:hAnsiTheme="minorHAnsi" w:cstheme="minorHAnsi"/>
                          <w:sz w:val="22"/>
                          <w:szCs w:val="22"/>
                        </w:rPr>
                        <w:t>Intergovernmental collaborative Action Fund for Excellence</w:t>
                      </w:r>
                    </w:p>
                    <w:p w14:paraId="674D2C68" w14:textId="77777777" w:rsidR="006F5DE6" w:rsidRPr="006F5DE6" w:rsidRDefault="006F5DE6" w:rsidP="006F5DE6">
                      <w:pPr>
                        <w:rPr>
                          <w:rFonts w:asciiTheme="minorHAnsi" w:hAnsiTheme="minorHAnsi" w:cstheme="minorHAnsi"/>
                          <w:sz w:val="22"/>
                          <w:szCs w:val="22"/>
                        </w:rPr>
                      </w:pPr>
                      <w:r w:rsidRPr="006F5DE6">
                        <w:rPr>
                          <w:rFonts w:asciiTheme="minorHAnsi" w:hAnsiTheme="minorHAnsi" w:cstheme="minorHAnsi"/>
                          <w:sz w:val="22"/>
                          <w:szCs w:val="22"/>
                        </w:rPr>
                        <w:t>Inc. ICAFE</w:t>
                      </w:r>
                    </w:p>
                    <w:p w14:paraId="16AD803A" w14:textId="77777777" w:rsidR="006F5DE6" w:rsidRPr="006F5DE6" w:rsidRDefault="006F5DE6" w:rsidP="006F5DE6">
                      <w:pPr>
                        <w:rPr>
                          <w:rFonts w:asciiTheme="minorHAnsi" w:hAnsiTheme="minorHAnsi" w:cstheme="minorHAnsi"/>
                          <w:sz w:val="22"/>
                          <w:szCs w:val="22"/>
                        </w:rPr>
                      </w:pPr>
                      <w:r w:rsidRPr="006F5DE6">
                        <w:rPr>
                          <w:rFonts w:asciiTheme="minorHAnsi" w:hAnsiTheme="minorHAnsi" w:cstheme="minorHAnsi"/>
                          <w:sz w:val="22"/>
                          <w:szCs w:val="22"/>
                        </w:rPr>
                        <w:t>17333 Croydon. Road. Jamaica Estates, New York 11432 USA</w:t>
                      </w:r>
                    </w:p>
                  </w:txbxContent>
                </v:textbox>
                <w10:wrap type="square"/>
              </v:shape>
            </w:pict>
          </mc:Fallback>
        </mc:AlternateContent>
      </w:r>
      <w:r>
        <w:rPr>
          <w:rFonts w:ascii="Verdana Pro" w:eastAsia="Calibri" w:hAnsi="Verdana Pro"/>
          <w:noProof/>
          <w:sz w:val="20"/>
          <w:szCs w:val="20"/>
          <w:lang w:eastAsia="en-US"/>
        </w:rPr>
        <w:drawing>
          <wp:inline distT="0" distB="0" distL="0" distR="0" wp14:anchorId="1CD9A6F1" wp14:editId="63A033FC">
            <wp:extent cx="1876425" cy="1657350"/>
            <wp:effectExtent l="0" t="0" r="9525" b="0"/>
            <wp:docPr id="8" name="Picture 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561b11e-bb77-472b-93da-c4598d2ae04f.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876425" cy="1657350"/>
                    </a:xfrm>
                    <a:prstGeom prst="rect">
                      <a:avLst/>
                    </a:prstGeom>
                  </pic:spPr>
                </pic:pic>
              </a:graphicData>
            </a:graphic>
          </wp:inline>
        </w:drawing>
      </w:r>
      <w:r w:rsidR="006F5DE6">
        <w:rPr>
          <w:noProof/>
        </w:rPr>
        <w:drawing>
          <wp:anchor distT="0" distB="0" distL="114300" distR="114300" simplePos="0" relativeHeight="251670528" behindDoc="1" locked="0" layoutInCell="1" allowOverlap="1" wp14:anchorId="16B5C720" wp14:editId="4537C0EB">
            <wp:simplePos x="0" y="0"/>
            <wp:positionH relativeFrom="column">
              <wp:posOffset>3600450</wp:posOffset>
            </wp:positionH>
            <wp:positionV relativeFrom="paragraph">
              <wp:posOffset>9525</wp:posOffset>
            </wp:positionV>
            <wp:extent cx="1790700" cy="1628775"/>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DE6">
        <w:rPr>
          <w:rFonts w:ascii="Verdana Pro" w:hAnsi="Verdana Pro" w:cs="Verdana Pro"/>
          <w:sz w:val="20"/>
          <w:szCs w:val="20"/>
        </w:rPr>
        <w:tab/>
      </w:r>
      <w:r w:rsidR="006F5DE6">
        <w:rPr>
          <w:rFonts w:ascii="Verdana Pro" w:hAnsi="Verdana Pro" w:cs="Verdana Pro"/>
          <w:sz w:val="20"/>
          <w:szCs w:val="20"/>
        </w:rPr>
        <w:tab/>
      </w:r>
      <w:r w:rsidR="006F5DE6">
        <w:rPr>
          <w:rFonts w:ascii="Verdana Pro" w:hAnsi="Verdana Pro" w:cs="Verdana Pro"/>
          <w:sz w:val="20"/>
          <w:szCs w:val="20"/>
        </w:rPr>
        <w:tab/>
      </w:r>
      <w:r w:rsidR="006F5DE6">
        <w:rPr>
          <w:rFonts w:ascii="Verdana Pro" w:hAnsi="Verdana Pro" w:cs="Verdana Pro"/>
          <w:sz w:val="20"/>
          <w:szCs w:val="20"/>
        </w:rPr>
        <w:tab/>
      </w:r>
      <w:r w:rsidR="006F5DE6">
        <w:rPr>
          <w:rFonts w:ascii="Verdana Pro" w:hAnsi="Verdana Pro" w:cs="Verdana Pro"/>
          <w:sz w:val="20"/>
          <w:szCs w:val="20"/>
        </w:rPr>
        <w:tab/>
      </w:r>
      <w:r w:rsidR="006F5DE6">
        <w:rPr>
          <w:rFonts w:ascii="Verdana Pro" w:hAnsi="Verdana Pro" w:cs="Verdana Pro"/>
          <w:sz w:val="20"/>
          <w:szCs w:val="20"/>
        </w:rPr>
        <w:tab/>
      </w:r>
      <w:r w:rsidR="006F5DE6">
        <w:rPr>
          <w:rFonts w:ascii="Verdana Pro" w:hAnsi="Verdana Pro" w:cs="Verdana Pro"/>
          <w:sz w:val="20"/>
          <w:szCs w:val="20"/>
        </w:rPr>
        <w:tab/>
      </w:r>
      <w:r w:rsidR="006F5DE6">
        <w:rPr>
          <w:rFonts w:ascii="Verdana Pro" w:hAnsi="Verdana Pro" w:cs="Verdana Pro"/>
          <w:sz w:val="20"/>
          <w:szCs w:val="20"/>
        </w:rPr>
        <w:tab/>
      </w:r>
    </w:p>
    <w:p w14:paraId="6372CCA2" w14:textId="1970259E" w:rsidR="00502FE6" w:rsidRDefault="00502FE6" w:rsidP="006F5DE6">
      <w:pPr>
        <w:pStyle w:val="Standard"/>
        <w:rPr>
          <w:rFonts w:ascii="Verdana Pro" w:eastAsia="Calibri" w:hAnsi="Verdana Pro" w:cs="Times New Roman"/>
          <w:sz w:val="20"/>
          <w:szCs w:val="20"/>
          <w:lang w:val="en-US" w:eastAsia="en-US"/>
        </w:rPr>
      </w:pPr>
      <w:r>
        <w:tab/>
      </w:r>
      <w:r>
        <w:tab/>
      </w:r>
      <w:r>
        <w:tab/>
      </w:r>
    </w:p>
    <w:p w14:paraId="075ED664" w14:textId="2121715C" w:rsidR="00E87861" w:rsidRDefault="00E87861" w:rsidP="005F16BD">
      <w:pPr>
        <w:rPr>
          <w:rFonts w:hint="eastAsia"/>
        </w:rPr>
      </w:pPr>
    </w:p>
    <w:p w14:paraId="73649D93" w14:textId="157EAF68" w:rsidR="00116668" w:rsidRPr="00116668" w:rsidRDefault="00116668" w:rsidP="00116668">
      <w:pPr>
        <w:rPr>
          <w:rFonts w:hint="eastAsia"/>
        </w:rPr>
      </w:pPr>
    </w:p>
    <w:p w14:paraId="44515E93" w14:textId="2884C456" w:rsidR="00116668" w:rsidRPr="00116668" w:rsidRDefault="00116668" w:rsidP="00116668">
      <w:pPr>
        <w:rPr>
          <w:rFonts w:hint="eastAsia"/>
        </w:rPr>
      </w:pPr>
    </w:p>
    <w:p w14:paraId="7DDDB6C4" w14:textId="3DB98AAB" w:rsidR="00116668" w:rsidRPr="00116668" w:rsidRDefault="00116668" w:rsidP="00116668">
      <w:pPr>
        <w:rPr>
          <w:rFonts w:hint="eastAsia"/>
        </w:rPr>
      </w:pPr>
    </w:p>
    <w:p w14:paraId="1209A51B" w14:textId="170FAE44" w:rsidR="00116668" w:rsidRDefault="00116668" w:rsidP="00116668">
      <w:pPr>
        <w:rPr>
          <w:rFonts w:hint="eastAsia"/>
        </w:rPr>
      </w:pPr>
    </w:p>
    <w:p w14:paraId="4F9D15AF" w14:textId="5855B024" w:rsidR="00116668" w:rsidRDefault="00116668" w:rsidP="00116668">
      <w:pPr>
        <w:rPr>
          <w:rFonts w:hint="eastAsia"/>
        </w:rPr>
      </w:pPr>
    </w:p>
    <w:p w14:paraId="6A533F8D" w14:textId="45C49F8B" w:rsidR="00116668" w:rsidRPr="00116668" w:rsidRDefault="00116668" w:rsidP="00116668">
      <w:pPr>
        <w:tabs>
          <w:tab w:val="left" w:pos="5550"/>
        </w:tabs>
        <w:rPr>
          <w:rFonts w:hint="eastAsia"/>
        </w:rPr>
      </w:pPr>
      <w:r>
        <w:rPr>
          <w:rFonts w:hint="eastAsia"/>
        </w:rPr>
        <w:tab/>
      </w:r>
      <w:r>
        <w:tab/>
      </w:r>
    </w:p>
    <w:sectPr w:rsidR="00116668" w:rsidRPr="001166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宋体">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Pro">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3D5D8D"/>
    <w:multiLevelType w:val="multilevel"/>
    <w:tmpl w:val="8B6631F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6B3E7F4B"/>
    <w:multiLevelType w:val="multilevel"/>
    <w:tmpl w:val="4566A77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6BD"/>
    <w:rsid w:val="00116668"/>
    <w:rsid w:val="003C0320"/>
    <w:rsid w:val="00502FE6"/>
    <w:rsid w:val="005F16BD"/>
    <w:rsid w:val="006F5DE6"/>
    <w:rsid w:val="008419CD"/>
    <w:rsid w:val="009B4012"/>
    <w:rsid w:val="009C4789"/>
    <w:rsid w:val="00E63FBE"/>
    <w:rsid w:val="00E87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7AC06"/>
  <w15:chartTrackingRefBased/>
  <w15:docId w15:val="{96BBF632-2735-4650-8C7F-1FE2C73D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6BD"/>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5F16BD"/>
    <w:pPr>
      <w:suppressAutoHyphens/>
      <w:autoSpaceDN w:val="0"/>
      <w:spacing w:line="244" w:lineRule="auto"/>
      <w:textAlignment w:val="baseline"/>
    </w:pPr>
    <w:rPr>
      <w:rFonts w:ascii="Calibri" w:eastAsia="SimSun, 宋体" w:hAnsi="Calibri" w:cs="Calibri"/>
      <w:kern w:val="3"/>
      <w:lang w:val="en-GB" w:eastAsia="zh-CN"/>
    </w:rPr>
  </w:style>
  <w:style w:type="paragraph" w:styleId="NormalWeb">
    <w:name w:val="Normal (Web)"/>
    <w:basedOn w:val="Standard"/>
    <w:rsid w:val="00502FE6"/>
    <w:pPr>
      <w:spacing w:before="100" w:after="100" w:line="100" w:lineRule="atLeast"/>
    </w:pPr>
    <w:rPr>
      <w:rFonts w:ascii="Times New Roman" w:eastAsia="Times New Roman" w:hAnsi="Times New Roman" w:cs="Times New Roman"/>
      <w:sz w:val="24"/>
      <w:szCs w:val="24"/>
    </w:rPr>
  </w:style>
  <w:style w:type="paragraph" w:customStyle="1" w:styleId="Standarduser">
    <w:name w:val="Standard (user)"/>
    <w:rsid w:val="00502FE6"/>
    <w:pPr>
      <w:suppressAutoHyphens/>
      <w:autoSpaceDN w:val="0"/>
      <w:spacing w:line="244" w:lineRule="auto"/>
      <w:textAlignment w:val="baseline"/>
    </w:pPr>
    <w:rPr>
      <w:rFonts w:ascii="Calibri" w:eastAsia="SimSun, 宋体" w:hAnsi="Calibri" w:cs="Tahoma"/>
      <w:kern w:val="3"/>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1541</Words>
  <Characters>8788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Grayson Hibbert &lt;Student&gt;</dc:creator>
  <cp:keywords/>
  <dc:description/>
  <cp:lastModifiedBy>admin</cp:lastModifiedBy>
  <cp:revision>2</cp:revision>
  <dcterms:created xsi:type="dcterms:W3CDTF">2022-03-20T02:57:00Z</dcterms:created>
  <dcterms:modified xsi:type="dcterms:W3CDTF">2022-03-20T02:57:00Z</dcterms:modified>
</cp:coreProperties>
</file>